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horzAnchor="margin" w:tblpXSpec="center" w:tblpY="-580"/>
        <w:tblW w:w="8955" w:type="dxa"/>
        <w:shd w:val="clear" w:color="auto" w:fill="FFFFFF"/>
        <w:tblLayout w:type="fixed"/>
        <w:tblCellMar>
          <w:top w:w="216" w:type="dxa"/>
          <w:left w:w="461" w:type="dxa"/>
          <w:bottom w:w="216" w:type="dxa"/>
          <w:right w:w="461" w:type="dxa"/>
        </w:tblCellMar>
        <w:tblLook w:val="04A0" w:firstRow="1" w:lastRow="0" w:firstColumn="1" w:lastColumn="0" w:noHBand="0" w:noVBand="1"/>
      </w:tblPr>
      <w:tblGrid>
        <w:gridCol w:w="8955"/>
      </w:tblGrid>
      <w:tr w:rsidR="00D66D89" w:rsidRPr="00D66D89" w14:paraId="72E5ACDA" w14:textId="77777777" w:rsidTr="007B2A63">
        <w:tc>
          <w:tcPr>
            <w:tcW w:w="8955" w:type="dxa"/>
            <w:tcBorders>
              <w:bottom w:val="single" w:sz="12" w:space="0" w:color="F2F2F2"/>
            </w:tcBorders>
            <w:shd w:val="clear" w:color="auto" w:fill="092F5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1A0F" w14:textId="77777777" w:rsidR="00D66D89" w:rsidRPr="00D66D89" w:rsidRDefault="00D66D89" w:rsidP="00D66D89">
            <w:pPr>
              <w:widowControl w:val="0"/>
              <w:spacing w:after="150" w:line="276" w:lineRule="auto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zh-TW"/>
              </w:rPr>
            </w:pPr>
          </w:p>
        </w:tc>
      </w:tr>
      <w:tr w:rsidR="00D66D89" w:rsidRPr="00D66D89" w14:paraId="6C48610B" w14:textId="77777777" w:rsidTr="007B2A63">
        <w:trPr>
          <w:trHeight w:val="852"/>
        </w:trPr>
        <w:tc>
          <w:tcPr>
            <w:tcW w:w="8955" w:type="dxa"/>
            <w:tcBorders>
              <w:top w:val="single" w:sz="12" w:space="0" w:color="F2F2F2"/>
              <w:bottom w:val="single" w:sz="4" w:space="0" w:color="auto"/>
            </w:tcBorders>
            <w:shd w:val="clear" w:color="auto" w:fill="FFFFFF"/>
          </w:tcPr>
          <w:p w14:paraId="455F9149" w14:textId="77777777" w:rsidR="00D66D89" w:rsidRDefault="00D66D89" w:rsidP="00D66D89">
            <w:pPr>
              <w:keepNext/>
              <w:keepLines/>
              <w:outlineLvl w:val="0"/>
              <w:rPr>
                <w:rFonts w:ascii="Aristotelica Display Trial" w:eastAsia="Times New Roman" w:hAnsi="Aristotelica Display Trial" w:cs="Calibri"/>
                <w:b/>
                <w:bCs/>
                <w:noProof/>
                <w:spacing w:val="-2"/>
                <w:kern w:val="28"/>
                <w:sz w:val="32"/>
                <w:szCs w:val="28"/>
                <w:lang w:eastAsia="zh-TW"/>
              </w:rPr>
            </w:pPr>
            <w:r w:rsidRPr="00D66D8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A4EC21" wp14:editId="1E037519">
                  <wp:simplePos x="0" y="0"/>
                  <wp:positionH relativeFrom="column">
                    <wp:posOffset>3864610</wp:posOffset>
                  </wp:positionH>
                  <wp:positionV relativeFrom="paragraph">
                    <wp:posOffset>87630</wp:posOffset>
                  </wp:positionV>
                  <wp:extent cx="1428750" cy="409575"/>
                  <wp:effectExtent l="0" t="0" r="0" b="9525"/>
                  <wp:wrapNone/>
                  <wp:docPr id="6" name="Picture 6" descr="Luma-Logo-Sig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uma-Logo-Sigl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EB6354" w14:textId="02DDC210" w:rsidR="00452FE4" w:rsidRDefault="00D66D89" w:rsidP="00452FE4">
            <w:pPr>
              <w:keepNext/>
              <w:keepLines/>
              <w:outlineLvl w:val="0"/>
              <w:rPr>
                <w:rFonts w:ascii="Aristotelica Display Trial" w:eastAsia="Times New Roman" w:hAnsi="Aristotelica Display Trial" w:cs="Calibri"/>
                <w:b/>
                <w:bCs/>
                <w:noProof/>
                <w:color w:val="092F57"/>
                <w:spacing w:val="-2"/>
                <w:kern w:val="28"/>
                <w:sz w:val="32"/>
                <w:szCs w:val="28"/>
                <w:lang w:eastAsia="zh-TW"/>
              </w:rPr>
            </w:pPr>
            <w:r>
              <w:rPr>
                <w:rFonts w:ascii="Aristotelica Display Trial" w:eastAsia="Times New Roman" w:hAnsi="Aristotelica Display Trial" w:cs="Calibri"/>
                <w:b/>
                <w:bCs/>
                <w:noProof/>
                <w:color w:val="092F57"/>
                <w:spacing w:val="-2"/>
                <w:kern w:val="28"/>
                <w:sz w:val="32"/>
                <w:szCs w:val="28"/>
                <w:lang w:eastAsia="zh-TW"/>
              </w:rPr>
              <w:t>Luma Project –</w:t>
            </w:r>
            <w:r w:rsidR="009757E7">
              <w:rPr>
                <w:rFonts w:ascii="Aristotelica Display Trial" w:eastAsia="Times New Roman" w:hAnsi="Aristotelica Display Trial" w:cs="Calibri"/>
                <w:b/>
                <w:bCs/>
                <w:noProof/>
                <w:color w:val="092F57"/>
                <w:spacing w:val="-2"/>
                <w:kern w:val="28"/>
                <w:sz w:val="32"/>
                <w:szCs w:val="28"/>
                <w:lang w:eastAsia="zh-TW"/>
              </w:rPr>
              <w:t xml:space="preserve"> </w:t>
            </w:r>
            <w:r w:rsidR="00452FE4">
              <w:rPr>
                <w:rFonts w:ascii="Aristotelica Display Trial" w:eastAsia="Times New Roman" w:hAnsi="Aristotelica Display Trial" w:cs="Calibri"/>
                <w:b/>
                <w:bCs/>
                <w:noProof/>
                <w:color w:val="092F57"/>
                <w:spacing w:val="-2"/>
                <w:kern w:val="28"/>
                <w:sz w:val="32"/>
                <w:szCs w:val="28"/>
                <w:lang w:eastAsia="zh-TW"/>
              </w:rPr>
              <w:t>Agency Accelerator Follow-</w:t>
            </w:r>
          </w:p>
          <w:p w14:paraId="3D0E6513" w14:textId="273544CA" w:rsidR="00D66D89" w:rsidRPr="00D66D89" w:rsidRDefault="00452FE4" w:rsidP="00D66D89">
            <w:pPr>
              <w:keepNext/>
              <w:keepLines/>
              <w:outlineLvl w:val="0"/>
              <w:rPr>
                <w:rFonts w:ascii="Aristotelica Display Trial" w:eastAsia="Times New Roman" w:hAnsi="Aristotelica Display Trial" w:cs="Calibri"/>
                <w:b/>
                <w:bCs/>
                <w:noProof/>
                <w:color w:val="092F57"/>
                <w:spacing w:val="-2"/>
                <w:kern w:val="28"/>
                <w:sz w:val="32"/>
                <w:szCs w:val="28"/>
                <w:lang w:eastAsia="zh-TW"/>
              </w:rPr>
            </w:pPr>
            <w:r>
              <w:rPr>
                <w:rFonts w:ascii="Aristotelica Display Trial" w:eastAsia="Times New Roman" w:hAnsi="Aristotelica Display Trial" w:cs="Calibri"/>
                <w:b/>
                <w:bCs/>
                <w:noProof/>
                <w:color w:val="092F57"/>
                <w:spacing w:val="-2"/>
                <w:kern w:val="28"/>
                <w:sz w:val="32"/>
                <w:szCs w:val="28"/>
                <w:lang w:eastAsia="zh-TW"/>
              </w:rPr>
              <w:t>Up</w:t>
            </w:r>
          </w:p>
        </w:tc>
      </w:tr>
      <w:tr w:rsidR="00D66D89" w:rsidRPr="00D66D89" w14:paraId="7E19BE42" w14:textId="77777777" w:rsidTr="007B2A63">
        <w:tc>
          <w:tcPr>
            <w:tcW w:w="8955" w:type="dxa"/>
            <w:tcBorders>
              <w:top w:val="single" w:sz="4" w:space="0" w:color="auto"/>
            </w:tcBorders>
            <w:shd w:val="clear" w:color="auto" w:fill="FFFFFF"/>
          </w:tcPr>
          <w:p w14:paraId="34DF0208" w14:textId="77777777" w:rsidR="00B709BD" w:rsidRDefault="00B709BD" w:rsidP="00D66D89">
            <w:p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  <w:p w14:paraId="2887B71D" w14:textId="0B62399A" w:rsidR="00B709BD" w:rsidRDefault="00B709BD" w:rsidP="00D66D89">
            <w:p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B709BD">
              <w:rPr>
                <w:rFonts w:ascii="Arial" w:eastAsia="PMingLiU" w:hAnsi="Arial" w:cs="Arial"/>
                <w:i/>
                <w:iCs/>
                <w:color w:val="000000" w:themeColor="text1"/>
                <w:sz w:val="20"/>
                <w:szCs w:val="20"/>
                <w:lang w:eastAsia="zh-TW"/>
              </w:rPr>
              <w:t>Tailor this message to best fit your agency! Items highlighted yellow require your attention.</w:t>
            </w:r>
          </w:p>
          <w:p w14:paraId="3C662639" w14:textId="77777777" w:rsidR="00B709BD" w:rsidRDefault="00B709BD" w:rsidP="00D66D89">
            <w:p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  <w:p w14:paraId="13FE71C8" w14:textId="77777777" w:rsidR="00B709BD" w:rsidRDefault="00B709BD" w:rsidP="00D66D89">
            <w:p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Body:</w:t>
            </w:r>
          </w:p>
          <w:p w14:paraId="4AD61A38" w14:textId="77777777" w:rsidR="00B709BD" w:rsidRDefault="00B709BD" w:rsidP="00D66D89">
            <w:p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</w:p>
          <w:p w14:paraId="54B9D745" w14:textId="6B5F874A" w:rsidR="00D66D89" w:rsidRPr="00D66D89" w:rsidRDefault="00D66D89" w:rsidP="00D66D89">
            <w:p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D66D89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Agency colleagues, </w:t>
            </w:r>
          </w:p>
          <w:p w14:paraId="05F9599D" w14:textId="77777777" w:rsidR="00D66D89" w:rsidRPr="00D66D89" w:rsidRDefault="00D66D89" w:rsidP="00D66D89">
            <w:p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  <w:p w14:paraId="49024BB9" w14:textId="7394CCA9" w:rsidR="00D66D89" w:rsidRPr="00D66D89" w:rsidRDefault="00470E52" w:rsidP="00D66D89">
            <w:p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As a follow-up to </w:t>
            </w:r>
            <w:r w:rsidR="00D01BEC" w:rsidRPr="00D01BEC">
              <w:rPr>
                <w:rFonts w:ascii="Arial" w:eastAsia="PMingLiU" w:hAnsi="Arial" w:cs="Arial"/>
                <w:color w:val="000000" w:themeColor="text1"/>
                <w:sz w:val="20"/>
                <w:szCs w:val="20"/>
                <w:highlight w:val="yellow"/>
                <w:lang w:eastAsia="zh-TW"/>
              </w:rPr>
              <w:t>insert date here</w:t>
            </w: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D01BEC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Luma </w:t>
            </w: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Agency Accelerator, </w:t>
            </w:r>
            <w:r w:rsidR="00D66D89" w:rsidRPr="00D66D89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I </w:t>
            </w: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would like to reinforce a few important highlights.</w:t>
            </w:r>
            <w:r w:rsidR="00D66D89" w:rsidRPr="00D66D89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BF25F7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The</w:t>
            </w:r>
            <w:r w:rsidR="00D66D89" w:rsidRPr="00D66D89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strategic decision</w:t>
            </w:r>
            <w:r w:rsidR="00BF25F7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has been made</w:t>
            </w:r>
            <w:r w:rsidR="00D66D89" w:rsidRPr="00D66D89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to go</w:t>
            </w:r>
            <w:r w:rsidR="00BF25F7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D66D89" w:rsidRPr="00D66D89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live with all</w:t>
            </w:r>
            <w:r w:rsidR="00BF25F7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Luma</w:t>
            </w:r>
            <w:r w:rsidR="00D66D89" w:rsidRPr="00D66D89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components by July 1</w:t>
            </w:r>
            <w:r w:rsidR="00D66D89" w:rsidRPr="00D66D89">
              <w:rPr>
                <w:rFonts w:ascii="Arial" w:eastAsia="PMingLiU" w:hAnsi="Arial" w:cs="Arial"/>
                <w:color w:val="000000" w:themeColor="text1"/>
                <w:sz w:val="20"/>
                <w:szCs w:val="20"/>
                <w:vertAlign w:val="superscript"/>
                <w:lang w:eastAsia="zh-TW"/>
              </w:rPr>
              <w:t>st</w:t>
            </w:r>
            <w:r w:rsidR="00D66D89" w:rsidRPr="00D66D89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in the following order:</w:t>
            </w:r>
          </w:p>
          <w:p w14:paraId="77540D55" w14:textId="77777777" w:rsidR="00D66D89" w:rsidRPr="00D66D89" w:rsidRDefault="00D66D89" w:rsidP="00D66D89">
            <w:p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  <w:p w14:paraId="6610F29B" w14:textId="2111B831" w:rsidR="00D66D89" w:rsidRDefault="00D66D89" w:rsidP="00D66D89">
            <w:pPr>
              <w:pStyle w:val="ListParagraph"/>
              <w:numPr>
                <w:ilvl w:val="0"/>
                <w:numId w:val="3"/>
              </w:num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D66D89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  <w:t>May 1</w:t>
            </w:r>
            <w:r w:rsidRPr="00D66D89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  <w:lang w:eastAsia="zh-TW"/>
              </w:rPr>
              <w:t>st</w:t>
            </w:r>
            <w:r w:rsidRPr="00D66D89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  <w:t>, 2023</w:t>
            </w: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: Supplier Portal Go-Live</w:t>
            </w:r>
            <w:r w:rsidR="002554F7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.</w:t>
            </w:r>
          </w:p>
          <w:p w14:paraId="22F6ABD4" w14:textId="77777777" w:rsidR="00D66D89" w:rsidRDefault="00D66D89" w:rsidP="00D66D89">
            <w:pPr>
              <w:pStyle w:val="ListParagraph"/>
              <w:ind w:left="780"/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  <w:p w14:paraId="43D91AFD" w14:textId="3FD40452" w:rsidR="00D66D89" w:rsidRPr="00D66D89" w:rsidRDefault="00D66D89" w:rsidP="00D66D89">
            <w:pPr>
              <w:pStyle w:val="ListParagraph"/>
              <w:numPr>
                <w:ilvl w:val="0"/>
                <w:numId w:val="3"/>
              </w:num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D66D89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  <w:t>June 11</w:t>
            </w:r>
            <w:r w:rsidRPr="00D66D89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  <w:lang w:eastAsia="zh-TW"/>
              </w:rPr>
              <w:t>th</w:t>
            </w:r>
            <w:r w:rsidRPr="00D66D89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  <w:t>, 2023</w:t>
            </w: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: Human Capital Management, Payroll, and Time modules Go-Live</w:t>
            </w:r>
            <w:r w:rsidR="002554F7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.</w:t>
            </w:r>
          </w:p>
          <w:p w14:paraId="38FFAE93" w14:textId="77777777" w:rsidR="00D66D89" w:rsidRDefault="00D66D89" w:rsidP="00D66D89">
            <w:pPr>
              <w:pStyle w:val="ListParagraph"/>
              <w:ind w:left="780"/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  <w:p w14:paraId="1A19D01F" w14:textId="43B6936F" w:rsidR="00D66D89" w:rsidRDefault="00D66D89" w:rsidP="00D66D89">
            <w:pPr>
              <w:pStyle w:val="ListParagraph"/>
              <w:numPr>
                <w:ilvl w:val="0"/>
                <w:numId w:val="3"/>
              </w:num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D66D89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  <w:t>July 1</w:t>
            </w:r>
            <w:r w:rsidRPr="00D66D89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  <w:lang w:eastAsia="zh-TW"/>
              </w:rPr>
              <w:t>st</w:t>
            </w:r>
            <w:r w:rsidRPr="00D66D89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  <w:t>, 2023</w:t>
            </w: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: Finance and Supply Chain Management modules Go-Live</w:t>
            </w:r>
            <w:r w:rsidR="002554F7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.</w:t>
            </w:r>
          </w:p>
          <w:p w14:paraId="2BFB7823" w14:textId="35844725" w:rsidR="00D66D89" w:rsidRDefault="00D66D89" w:rsidP="00D66D89">
            <w:p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  <w:p w14:paraId="2EAA2318" w14:textId="48C3B1D0" w:rsidR="00D66D89" w:rsidRPr="00D66D89" w:rsidRDefault="00D01BEC" w:rsidP="00D66D89">
            <w:p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In reference to the comprehensive full suite approach, </w:t>
            </w:r>
            <w:r w:rsidR="0019111E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State Deputy Controller Joshua Whitworth </w:t>
            </w:r>
            <w:r w:rsidR="00001741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shared</w:t>
            </w:r>
            <w:r w:rsidR="008E6BA4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, “</w:t>
            </w:r>
            <w:r w:rsidR="008E6BA4" w:rsidRPr="008E6BA4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Our implementation approach is, and has always been, getting every agency across the finish line.  Adopting Luma is a momentous step towards our future modern way of working in the state,</w:t>
            </w:r>
            <w:r w:rsidR="008E6BA4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8E6BA4" w:rsidRPr="008E6BA4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and when we official</w:t>
            </w:r>
            <w:r w:rsidR="008E6BA4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ly</w:t>
            </w:r>
            <w:r w:rsidR="008E6BA4" w:rsidRPr="008E6BA4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launch, it will be together, as a state-wide workforce."</w:t>
            </w:r>
          </w:p>
          <w:p w14:paraId="333807BD" w14:textId="0906A2CB" w:rsidR="00D66D89" w:rsidRDefault="00D66D89" w:rsidP="00D66D89">
            <w:p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  <w:p w14:paraId="5E9FE8D0" w14:textId="646FCFEB" w:rsidR="0019111E" w:rsidRDefault="0019111E" w:rsidP="00D66D89">
            <w:pPr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19111E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  <w:t>Wh</w:t>
            </w:r>
            <w:r w:rsidR="002554F7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  <w:t>at are the supporting reasons for</w:t>
            </w:r>
            <w:r w:rsidRPr="0019111E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  <w:t xml:space="preserve"> implementing a </w:t>
            </w:r>
            <w:r w:rsidR="002554F7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  <w:t>“</w:t>
            </w:r>
            <w:r w:rsidRPr="0019111E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  <w:t>comprehensive full suite</w:t>
            </w:r>
            <w:r w:rsidR="002554F7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  <w:t>” timeline</w:t>
            </w:r>
            <w:r w:rsidRPr="0019111E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  <w:t>?</w:t>
            </w:r>
          </w:p>
          <w:p w14:paraId="44E96769" w14:textId="4930FD16" w:rsidR="002554F7" w:rsidRDefault="002554F7" w:rsidP="00D66D89">
            <w:pPr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  <w:p w14:paraId="776A1BF1" w14:textId="49F0419B" w:rsidR="002554F7" w:rsidRPr="002554F7" w:rsidRDefault="002554F7" w:rsidP="002554F7">
            <w:pPr>
              <w:pStyle w:val="ListParagraph"/>
              <w:numPr>
                <w:ilvl w:val="0"/>
                <w:numId w:val="4"/>
              </w:numPr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Realize benefits of full system functionality sooner.</w:t>
            </w:r>
          </w:p>
          <w:p w14:paraId="04B6D7DC" w14:textId="61D27BDB" w:rsidR="002554F7" w:rsidRPr="002554F7" w:rsidRDefault="002554F7" w:rsidP="002554F7">
            <w:pPr>
              <w:pStyle w:val="ListParagraph"/>
              <w:numPr>
                <w:ilvl w:val="0"/>
                <w:numId w:val="4"/>
              </w:numPr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Clean cutover alignment with Fiscal Year End.</w:t>
            </w:r>
          </w:p>
          <w:p w14:paraId="0F293BA8" w14:textId="07CD1605" w:rsidR="002554F7" w:rsidRPr="002554F7" w:rsidRDefault="002554F7" w:rsidP="002554F7">
            <w:pPr>
              <w:pStyle w:val="ListParagraph"/>
              <w:numPr>
                <w:ilvl w:val="0"/>
                <w:numId w:val="4"/>
              </w:numPr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A single Go-Live effort encourages a unified agency focus.</w:t>
            </w:r>
          </w:p>
          <w:p w14:paraId="3655A0D9" w14:textId="4A3C4FC3" w:rsidR="002554F7" w:rsidRPr="002554F7" w:rsidRDefault="002554F7" w:rsidP="002554F7">
            <w:pPr>
              <w:pStyle w:val="ListParagraph"/>
              <w:numPr>
                <w:ilvl w:val="0"/>
                <w:numId w:val="4"/>
              </w:numPr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The enterprise model allows for consolidation of resources and prioritization of activities that are aligned under a single goal.</w:t>
            </w:r>
          </w:p>
          <w:p w14:paraId="06CCC528" w14:textId="3AE2D54E" w:rsidR="002554F7" w:rsidRDefault="002554F7" w:rsidP="002554F7">
            <w:pPr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  <w:p w14:paraId="2B1DDEE3" w14:textId="41F364D6" w:rsidR="002554F7" w:rsidRDefault="002554F7" w:rsidP="002554F7">
            <w:pPr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  <w:t>What do Idaho State employees need to know?</w:t>
            </w:r>
          </w:p>
          <w:p w14:paraId="31704A39" w14:textId="3BDC3670" w:rsidR="002554F7" w:rsidRDefault="002554F7" w:rsidP="002554F7">
            <w:pPr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  <w:p w14:paraId="0A213657" w14:textId="3E2848D9" w:rsidR="002554F7" w:rsidRDefault="002554F7" w:rsidP="002554F7">
            <w:p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Between now and Go-Live,</w:t>
            </w:r>
            <w:r w:rsidR="00BF25F7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you can expect</w:t>
            </w: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information through various communication channels</w:t>
            </w:r>
            <w:r w:rsidR="00BF25F7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with details</w:t>
            </w:r>
            <w:r w:rsidR="009F2874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BF25F7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about</w:t>
            </w:r>
            <w:r w:rsidR="009F2874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preparations</w:t>
            </w:r>
            <w:r w:rsidR="00BF25F7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, including training</w:t>
            </w:r>
            <w:r w:rsidR="009F2874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. Over the following three months, employees will be invited to participate in activities</w:t>
            </w:r>
            <w:r w:rsidR="006A2B65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to</w:t>
            </w:r>
            <w:r w:rsidR="009F2874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6A27B5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develop</w:t>
            </w:r>
            <w:r w:rsidR="009F2874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their understanding of the changes and impacts associated with Luma.</w:t>
            </w:r>
            <w:r w:rsidR="006A2B65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Beginning in </w:t>
            </w:r>
            <w:r w:rsidR="00BF25F7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May</w:t>
            </w:r>
            <w:r w:rsidR="006A2B65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, employees will </w:t>
            </w:r>
            <w:r w:rsidR="006A27B5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build </w:t>
            </w:r>
            <w:r w:rsidR="006A2B65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their skills and knowledge through a combination of virtual and instructor-Led training, overview videos, micro learnings, and additional resources. </w:t>
            </w:r>
          </w:p>
          <w:p w14:paraId="74ED48CC" w14:textId="4E0EB2F8" w:rsidR="006A2B65" w:rsidRDefault="006A2B65" w:rsidP="002554F7">
            <w:p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  <w:p w14:paraId="182080BA" w14:textId="689A64AF" w:rsidR="0019111E" w:rsidRPr="00D66D89" w:rsidRDefault="00BF25F7" w:rsidP="00D66D89">
            <w:pP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As more dates and information is made available, </w:t>
            </w:r>
            <w:r w:rsidR="00005DAD" w:rsidRPr="00005DAD">
              <w:rPr>
                <w:rFonts w:ascii="Arial" w:eastAsia="PMingLiU" w:hAnsi="Arial" w:cs="Arial"/>
                <w:color w:val="000000" w:themeColor="text1"/>
                <w:sz w:val="20"/>
                <w:szCs w:val="20"/>
                <w:highlight w:val="yellow"/>
                <w:lang w:eastAsia="zh-TW"/>
              </w:rPr>
              <w:t>Agency Leader</w:t>
            </w:r>
            <w:r w:rsidR="00005DAD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and </w:t>
            </w: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I </w:t>
            </w:r>
            <w:r w:rsidR="006A2B65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will continue to </w:t>
            </w: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update you</w:t>
            </w:r>
            <w:r w:rsidR="006A2B65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on project progress</w:t>
            </w:r>
            <w:r w:rsidR="00D94655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. </w:t>
            </w:r>
            <w:r w:rsidR="00D52F8A" w:rsidRPr="00452FE4">
              <w:rPr>
                <w:rFonts w:ascii="Arial" w:eastAsia="PMingLiU" w:hAnsi="Arial" w:cs="Arial"/>
                <w:color w:val="000000" w:themeColor="text1"/>
                <w:sz w:val="20"/>
                <w:szCs w:val="20"/>
                <w:highlight w:val="yellow"/>
                <w:lang w:eastAsia="zh-TW"/>
              </w:rPr>
              <w:t>I</w:t>
            </w:r>
            <w:r w:rsidR="00452FE4" w:rsidRPr="00452FE4">
              <w:rPr>
                <w:rFonts w:ascii="Arial" w:eastAsia="PMingLiU" w:hAnsi="Arial" w:cs="Arial"/>
                <w:color w:val="000000" w:themeColor="text1"/>
                <w:sz w:val="20"/>
                <w:szCs w:val="20"/>
                <w:highlight w:val="yellow"/>
                <w:lang w:eastAsia="zh-TW"/>
              </w:rPr>
              <w:t xml:space="preserve"> / We</w:t>
            </w:r>
            <w:r w:rsidR="00D52F8A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D94655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encourage you to reach out with questions or feedback</w:t>
            </w:r>
            <w:r w:rsidR="009757E7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at</w:t>
            </w:r>
            <w:r w:rsidR="00005DAD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005DAD" w:rsidRPr="00005DAD">
              <w:rPr>
                <w:rFonts w:ascii="Arial" w:eastAsia="PMingLiU" w:hAnsi="Arial" w:cs="Arial"/>
                <w:color w:val="000000" w:themeColor="text1"/>
                <w:sz w:val="20"/>
                <w:szCs w:val="20"/>
                <w:highlight w:val="yellow"/>
                <w:lang w:eastAsia="zh-TW"/>
              </w:rPr>
              <w:t>insert email here</w:t>
            </w:r>
            <w:r w:rsidR="00005DAD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>.</w:t>
            </w:r>
          </w:p>
          <w:p w14:paraId="06EAAD9A" w14:textId="77777777" w:rsidR="00D66D89" w:rsidRPr="00D66D89" w:rsidRDefault="00D66D89" w:rsidP="00D66D89">
            <w:pPr>
              <w:spacing w:line="360" w:lineRule="auto"/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</w:p>
          <w:p w14:paraId="62D9CD7B" w14:textId="77777777" w:rsidR="00D66D89" w:rsidRPr="00D66D89" w:rsidRDefault="00D66D89" w:rsidP="00D66D89">
            <w:pPr>
              <w:spacing w:line="360" w:lineRule="auto"/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D66D89">
              <w:rPr>
                <w:rFonts w:ascii="Arial" w:eastAsia="PMingLiU" w:hAnsi="Arial" w:cs="Arial"/>
                <w:color w:val="000000" w:themeColor="text1"/>
                <w:sz w:val="20"/>
                <w:szCs w:val="20"/>
                <w:lang w:eastAsia="zh-TW"/>
              </w:rPr>
              <w:t xml:space="preserve">Thank you, </w:t>
            </w:r>
          </w:p>
          <w:p w14:paraId="3E91E562" w14:textId="2BD7B930" w:rsidR="00D66D89" w:rsidRPr="00D66D89" w:rsidRDefault="009757E7" w:rsidP="00D66D89">
            <w:pPr>
              <w:spacing w:line="360" w:lineRule="auto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highlight w:val="yellow"/>
                <w:lang w:eastAsia="zh-TW"/>
              </w:rPr>
              <w:t>Liaison</w:t>
            </w:r>
            <w:r w:rsidR="00D52F8A" w:rsidRPr="00D52F8A">
              <w:rPr>
                <w:rFonts w:ascii="Arial" w:eastAsia="PMingLiU" w:hAnsi="Arial" w:cs="Arial"/>
                <w:sz w:val="20"/>
                <w:szCs w:val="20"/>
                <w:highlight w:val="yellow"/>
                <w:lang w:eastAsia="zh-TW"/>
              </w:rPr>
              <w:t xml:space="preserve"> Name</w:t>
            </w:r>
          </w:p>
        </w:tc>
      </w:tr>
    </w:tbl>
    <w:p w14:paraId="3577E97D" w14:textId="77777777" w:rsidR="00E23425" w:rsidRDefault="001205D8"/>
    <w:sectPr w:rsidR="00E2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CA54" w14:textId="77777777" w:rsidR="001205D8" w:rsidRDefault="001205D8" w:rsidP="00D94655">
      <w:pPr>
        <w:spacing w:after="0" w:line="240" w:lineRule="auto"/>
      </w:pPr>
      <w:r>
        <w:separator/>
      </w:r>
    </w:p>
  </w:endnote>
  <w:endnote w:type="continuationSeparator" w:id="0">
    <w:p w14:paraId="0FECF4A5" w14:textId="77777777" w:rsidR="001205D8" w:rsidRDefault="001205D8" w:rsidP="00D9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stotelica Display Trial">
    <w:panose1 w:val="02000506020000020004"/>
    <w:charset w:val="00"/>
    <w:family w:val="auto"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4D5C" w14:textId="77777777" w:rsidR="001205D8" w:rsidRDefault="001205D8" w:rsidP="00D94655">
      <w:pPr>
        <w:spacing w:after="0" w:line="240" w:lineRule="auto"/>
      </w:pPr>
      <w:r>
        <w:separator/>
      </w:r>
    </w:p>
  </w:footnote>
  <w:footnote w:type="continuationSeparator" w:id="0">
    <w:p w14:paraId="18A42EFB" w14:textId="77777777" w:rsidR="001205D8" w:rsidRDefault="001205D8" w:rsidP="00D9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011A"/>
    <w:multiLevelType w:val="hybridMultilevel"/>
    <w:tmpl w:val="FB22FA74"/>
    <w:lvl w:ilvl="0" w:tplc="CA56E8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C7B7C"/>
    <w:multiLevelType w:val="multilevel"/>
    <w:tmpl w:val="3C6E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F3393"/>
    <w:multiLevelType w:val="hybridMultilevel"/>
    <w:tmpl w:val="84AE968A"/>
    <w:lvl w:ilvl="0" w:tplc="CA56E8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DE47B5"/>
    <w:multiLevelType w:val="hybridMultilevel"/>
    <w:tmpl w:val="56B8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89"/>
    <w:rsid w:val="00001741"/>
    <w:rsid w:val="00005DAD"/>
    <w:rsid w:val="001205D8"/>
    <w:rsid w:val="0019111E"/>
    <w:rsid w:val="002554F7"/>
    <w:rsid w:val="00452FE4"/>
    <w:rsid w:val="00470E52"/>
    <w:rsid w:val="006056DA"/>
    <w:rsid w:val="006A27B5"/>
    <w:rsid w:val="006A2B65"/>
    <w:rsid w:val="006F4D95"/>
    <w:rsid w:val="008E6BA4"/>
    <w:rsid w:val="00930C1D"/>
    <w:rsid w:val="009757E7"/>
    <w:rsid w:val="009F2874"/>
    <w:rsid w:val="00B709BD"/>
    <w:rsid w:val="00BF25F7"/>
    <w:rsid w:val="00CC4C4D"/>
    <w:rsid w:val="00D01BEC"/>
    <w:rsid w:val="00D176F9"/>
    <w:rsid w:val="00D52F8A"/>
    <w:rsid w:val="00D66D89"/>
    <w:rsid w:val="00D94655"/>
    <w:rsid w:val="00E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6726"/>
  <w15:chartTrackingRefBased/>
  <w15:docId w15:val="{8A228CDC-479B-4E2A-A0FF-62DAB758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66D89"/>
    <w:pPr>
      <w:spacing w:after="0" w:line="240" w:lineRule="auto"/>
    </w:pPr>
    <w:rPr>
      <w:sz w:val="24"/>
      <w:szCs w:val="24"/>
      <w:lang w:val="en-GB"/>
    </w:rPr>
    <w:tblPr/>
  </w:style>
  <w:style w:type="table" w:styleId="TableGrid">
    <w:name w:val="Table Grid"/>
    <w:basedOn w:val="TableNormal"/>
    <w:uiPriority w:val="39"/>
    <w:rsid w:val="00D6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2674304CBB4BB1B28CDCCE389339" ma:contentTypeVersion="2" ma:contentTypeDescription="Create a new document." ma:contentTypeScope="" ma:versionID="fb0c83083da30f4411dbaa06c34cbca6">
  <xsd:schema xmlns:xsd="http://www.w3.org/2001/XMLSchema" xmlns:xs="http://www.w3.org/2001/XMLSchema" xmlns:p="http://schemas.microsoft.com/office/2006/metadata/properties" xmlns:ns2="38ac8d9b-57a9-43ab-aeed-655448db72ff" targetNamespace="http://schemas.microsoft.com/office/2006/metadata/properties" ma:root="true" ma:fieldsID="fe90c2b1bc3dd7533e065299e1a04cef" ns2:_="">
    <xsd:import namespace="38ac8d9b-57a9-43ab-aeed-655448db72ff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2:Meeting_x0020_Date" minOccurs="0"/>
                <xsd:element ref="ns2:Agency" minOccurs="0"/>
                <xsd:element ref="ns2:Item_x0020_No_x002e_" minOccurs="0"/>
                <xsd:element ref="ns2:Statu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c8d9b-57a9-43ab-aeed-655448db72ff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>
      <xsd:simpleType>
        <xsd:restriction base="dms:Choice">
          <xsd:enumeration value="Subcommittee Meeting"/>
          <xsd:enumeration value="Regular Meeting"/>
          <xsd:enumeration value="Special Meeting"/>
          <xsd:enumeration value="Agenda Items"/>
        </xsd:restriction>
      </xsd:simpleType>
    </xsd:element>
    <xsd:element name="Meeting_x0020_Date" ma:index="9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Agency" ma:index="10" nillable="true" ma:displayName="Agency" ma:format="Dropdown" ma:internalName="Agency">
      <xsd:simpleType>
        <xsd:restriction base="dms:Choice">
          <xsd:enumeration value="Meeting Type"/>
        </xsd:restriction>
      </xsd:simpleType>
    </xsd:element>
    <xsd:element name="Item_x0020_No_x002e_" ma:index="11" nillable="true" ma:displayName="Item No." ma:format="Dropdown" ma:internalName="Item_x0020_No_x002e_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Withdrawn"/>
        </xsd:restriction>
      </xsd:simpleType>
    </xsd:element>
    <xsd:element name="Status" ma:index="12" nillable="true" ma:displayName="Status" ma:default="Stage In Progress" ma:format="Dropdown" ma:internalName="Status">
      <xsd:simpleType>
        <xsd:restriction base="dms:Choice">
          <xsd:enumeration value="Stage In Progress"/>
          <xsd:enumeration value="Waiting For Approval"/>
          <xsd:enumeration value="Approved"/>
        </xsd:restriction>
      </xsd:simpleType>
    </xsd:element>
    <xsd:element name="Category" ma:index="13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38ac8d9b-57a9-43ab-aeed-655448db72ff" xsi:nil="true"/>
    <Meeting_x0020_Type xmlns="38ac8d9b-57a9-43ab-aeed-655448db72ff" xsi:nil="true"/>
    <Item_x0020_No_x002e_ xmlns="38ac8d9b-57a9-43ab-aeed-655448db72ff" xsi:nil="true"/>
    <Meeting_x0020_Date xmlns="38ac8d9b-57a9-43ab-aeed-655448db72ff" xsi:nil="true"/>
    <Category xmlns="38ac8d9b-57a9-43ab-aeed-655448db72ff" xsi:nil="true"/>
    <Status xmlns="38ac8d9b-57a9-43ab-aeed-655448db72ff">Stage In Progress</Status>
  </documentManagement>
</p:properties>
</file>

<file path=customXml/itemProps1.xml><?xml version="1.0" encoding="utf-8"?>
<ds:datastoreItem xmlns:ds="http://schemas.openxmlformats.org/officeDocument/2006/customXml" ds:itemID="{0281F1C9-003A-4BF4-95A3-C525CF902D6A}"/>
</file>

<file path=customXml/itemProps2.xml><?xml version="1.0" encoding="utf-8"?>
<ds:datastoreItem xmlns:ds="http://schemas.openxmlformats.org/officeDocument/2006/customXml" ds:itemID="{BA2000D2-1BC8-4283-8AE5-09A49FAC43AA}"/>
</file>

<file path=customXml/itemProps3.xml><?xml version="1.0" encoding="utf-8"?>
<ds:datastoreItem xmlns:ds="http://schemas.openxmlformats.org/officeDocument/2006/customXml" ds:itemID="{888CE90D-5D83-41C0-902E-720D28E7E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Romanov, Elizabeth</dc:creator>
  <cp:keywords/>
  <dc:description/>
  <cp:lastModifiedBy>Alex Doench</cp:lastModifiedBy>
  <cp:revision>2</cp:revision>
  <dcterms:created xsi:type="dcterms:W3CDTF">2022-12-08T17:06:00Z</dcterms:created>
  <dcterms:modified xsi:type="dcterms:W3CDTF">2022-12-08T17:06:00Z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2022-12-06T14:11:45Z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febaa397-7421-4e83-bbff-96e48c8b0808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0x01010078562674304CBB4BB1B28CDCCE389339</vt:lpwstr>
  </property>
</Properties>
</file>