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6789" w14:textId="77777777" w:rsidR="00D470F4" w:rsidRPr="002D2121" w:rsidRDefault="00632752" w:rsidP="002D2121">
      <w:pPr>
        <w:pStyle w:val="Projectname"/>
        <w:pageBreakBefore w:val="0"/>
        <w:tabs>
          <w:tab w:val="left" w:pos="971"/>
          <w:tab w:val="center" w:pos="4680"/>
        </w:tabs>
        <w:spacing w:before="0"/>
        <w:ind w:left="0" w:firstLine="0"/>
        <w:jc w:val="both"/>
        <w:rPr>
          <w:rFonts w:ascii="Arial Rounded MT Bold" w:hAnsi="Arial Rounded MT Bold"/>
          <w:b/>
          <w:color w:val="092F57"/>
        </w:rPr>
      </w:pPr>
      <w:r>
        <w:rPr>
          <w:rFonts w:ascii="Arial Rounded MT Bold" w:hAnsi="Arial Rounded MT Bold"/>
          <w:b/>
          <w:color w:val="092F57"/>
        </w:rPr>
        <w:t>St</w:t>
      </w:r>
      <w:r w:rsidR="00DE069A">
        <w:rPr>
          <w:rFonts w:ascii="Arial Rounded MT Bold" w:hAnsi="Arial Rounded MT Bold"/>
          <w:b/>
          <w:color w:val="092F57"/>
        </w:rPr>
        <w:t>a</w:t>
      </w:r>
      <w:r w:rsidR="00547751" w:rsidRPr="002D2121">
        <w:rPr>
          <w:rFonts w:ascii="Arial Rounded MT Bold" w:hAnsi="Arial Rounded MT Bold"/>
          <w:b/>
          <w:color w:val="092F57"/>
        </w:rPr>
        <w:t xml:space="preserve">te of </w:t>
      </w:r>
      <w:r w:rsidR="006C12FE" w:rsidRPr="002D2121">
        <w:rPr>
          <w:rFonts w:ascii="Arial Rounded MT Bold" w:hAnsi="Arial Rounded MT Bold"/>
          <w:b/>
          <w:color w:val="092F57"/>
        </w:rPr>
        <w:t>Idaho</w:t>
      </w:r>
    </w:p>
    <w:p w14:paraId="096CD41B" w14:textId="77777777" w:rsidR="00547751" w:rsidRDefault="00A9027F">
      <w:pPr>
        <w:pStyle w:val="StyleToolordeliverablenameCustomColorRGB039118Left"/>
        <w:spacing w:before="0"/>
        <w:ind w:left="0"/>
        <w:rPr>
          <w:rFonts w:ascii="Arial Rounded MT Bold" w:hAnsi="Arial Rounded MT Bold" w:cs="Arial"/>
          <w:b/>
          <w:color w:val="092F57"/>
          <w:szCs w:val="60"/>
        </w:rPr>
      </w:pPr>
      <w:bookmarkStart w:id="0" w:name="OLE_LINK5"/>
      <w:r w:rsidRPr="002D2121">
        <w:rPr>
          <w:rFonts w:ascii="Arial Rounded MT Bold" w:hAnsi="Arial Rounded MT Bold" w:cs="Arial"/>
          <w:b/>
          <w:color w:val="092F57"/>
          <w:szCs w:val="60"/>
        </w:rPr>
        <w:t>Luma Project</w:t>
      </w:r>
    </w:p>
    <w:p w14:paraId="2F11C16A" w14:textId="77777777" w:rsidR="00896E76" w:rsidRPr="002D2121" w:rsidRDefault="00896E76" w:rsidP="00896E76">
      <w:pPr>
        <w:pStyle w:val="StyleToolordeliverablenameCustomColorRGB039118Left"/>
        <w:spacing w:before="0"/>
        <w:ind w:left="0"/>
        <w:rPr>
          <w:rFonts w:ascii="Arial Rounded MT Bold" w:hAnsi="Arial Rounded MT Bold" w:cs="Arial"/>
          <w:b/>
          <w:color w:val="092F57"/>
          <w:szCs w:val="60"/>
        </w:rPr>
      </w:pPr>
    </w:p>
    <w:p w14:paraId="5735BC6C" w14:textId="77777777" w:rsidR="00CF0395" w:rsidRDefault="00674DF4" w:rsidP="0085595A">
      <w:pPr>
        <w:pStyle w:val="StyleToolordeliverablenameCustomColorRGB039118Left"/>
        <w:spacing w:before="0" w:line="276" w:lineRule="auto"/>
        <w:ind w:left="0"/>
        <w:rPr>
          <w:rFonts w:ascii="Arial Rounded MT Bold" w:hAnsi="Arial Rounded MT Bold" w:cs="Arial"/>
          <w:b/>
          <w:color w:val="092F57"/>
          <w:szCs w:val="60"/>
        </w:rPr>
      </w:pPr>
      <w:r>
        <w:rPr>
          <w:rFonts w:ascii="Arial Rounded MT Bold" w:hAnsi="Arial Rounded MT Bold" w:cs="Arial"/>
          <w:b/>
          <w:color w:val="092F57"/>
          <w:szCs w:val="60"/>
        </w:rPr>
        <w:t>Chart of Accounts</w:t>
      </w:r>
      <w:r w:rsidR="009B13B0">
        <w:rPr>
          <w:rFonts w:ascii="Arial Rounded MT Bold" w:hAnsi="Arial Rounded MT Bold" w:cs="Arial"/>
          <w:b/>
          <w:color w:val="092F57"/>
          <w:szCs w:val="60"/>
        </w:rPr>
        <w:t xml:space="preserve"> Design</w:t>
      </w:r>
    </w:p>
    <w:p w14:paraId="438A6EEC" w14:textId="2AF79AD2" w:rsidR="0085595A" w:rsidRPr="0085595A" w:rsidRDefault="00FF5DC2" w:rsidP="0085595A">
      <w:pPr>
        <w:pStyle w:val="StyleToolordeliverablenameCustomColorRGB039118Left"/>
        <w:spacing w:before="0" w:line="276" w:lineRule="auto"/>
        <w:ind w:left="0"/>
        <w:rPr>
          <w:rFonts w:ascii="Arial Rounded MT Bold" w:hAnsi="Arial Rounded MT Bold" w:cs="Arial"/>
          <w:b/>
          <w:color w:val="092F57"/>
          <w:sz w:val="32"/>
          <w:szCs w:val="32"/>
        </w:rPr>
      </w:pPr>
      <w:r>
        <w:rPr>
          <w:rFonts w:ascii="Arial Rounded MT Bold" w:hAnsi="Arial Rounded MT Bold" w:cs="Arial"/>
          <w:b/>
          <w:color w:val="092F57"/>
          <w:sz w:val="32"/>
          <w:szCs w:val="32"/>
        </w:rPr>
        <w:t>(</w:t>
      </w:r>
      <w:r w:rsidR="0085595A">
        <w:rPr>
          <w:rFonts w:ascii="Arial Rounded MT Bold" w:hAnsi="Arial Rounded MT Bold" w:cs="Arial"/>
          <w:b/>
          <w:color w:val="092F57"/>
          <w:sz w:val="32"/>
          <w:szCs w:val="32"/>
        </w:rPr>
        <w:t>Deliverable No</w:t>
      </w:r>
      <w:r w:rsidR="00EA36DD" w:rsidRPr="00EA36DD">
        <w:rPr>
          <w:rFonts w:ascii="Arial Rounded MT Bold" w:hAnsi="Arial Rounded MT Bold" w:cs="Arial"/>
          <w:color w:val="092F57"/>
          <w:sz w:val="32"/>
          <w:szCs w:val="32"/>
        </w:rPr>
        <w:t>.</w:t>
      </w:r>
      <w:r w:rsidR="0085595A">
        <w:rPr>
          <w:rFonts w:ascii="Arial Rounded MT Bold" w:hAnsi="Arial Rounded MT Bold" w:cs="Arial"/>
          <w:b/>
          <w:color w:val="092F57"/>
          <w:sz w:val="32"/>
          <w:szCs w:val="32"/>
        </w:rPr>
        <w:t xml:space="preserve"> </w:t>
      </w:r>
      <w:r w:rsidR="009B13B0">
        <w:rPr>
          <w:rFonts w:ascii="Arial Rounded MT Bold" w:hAnsi="Arial Rounded MT Bold" w:cs="Arial"/>
          <w:b/>
          <w:color w:val="092F57"/>
          <w:sz w:val="32"/>
          <w:szCs w:val="32"/>
        </w:rPr>
        <w:t>20</w:t>
      </w:r>
      <w:r>
        <w:rPr>
          <w:rFonts w:ascii="Arial Rounded MT Bold" w:hAnsi="Arial Rounded MT Bold" w:cs="Arial"/>
          <w:b/>
          <w:color w:val="092F57"/>
          <w:sz w:val="32"/>
          <w:szCs w:val="32"/>
        </w:rPr>
        <w:t>)</w:t>
      </w:r>
    </w:p>
    <w:p w14:paraId="30CE3EF5" w14:textId="77777777" w:rsidR="00896E76" w:rsidRPr="002D2121" w:rsidRDefault="00896E76">
      <w:pPr>
        <w:pStyle w:val="StyleToolordeliverablenameCustomColorRGB039118Left"/>
        <w:spacing w:before="0"/>
        <w:ind w:left="0"/>
        <w:rPr>
          <w:rFonts w:ascii="Arial Rounded MT Bold" w:hAnsi="Arial Rounded MT Bold" w:cs="Arial"/>
          <w:b/>
          <w:color w:val="092F57"/>
          <w:szCs w:val="60"/>
        </w:rPr>
      </w:pPr>
    </w:p>
    <w:p w14:paraId="73521411" w14:textId="433E426F" w:rsidR="00EF427A" w:rsidRDefault="00A31E3D">
      <w:pPr>
        <w:pStyle w:val="StyleToolordeliverablenameCustomColorRGB039118Left"/>
        <w:spacing w:before="0"/>
        <w:ind w:left="0"/>
        <w:rPr>
          <w:rFonts w:ascii="Arial" w:hAnsi="Arial" w:cs="Arial"/>
          <w:color w:val="092F57"/>
          <w:sz w:val="32"/>
          <w:szCs w:val="36"/>
        </w:rPr>
      </w:pPr>
      <w:r>
        <w:rPr>
          <w:rFonts w:ascii="Arial" w:hAnsi="Arial" w:cs="Arial"/>
          <w:color w:val="092F57"/>
          <w:sz w:val="32"/>
          <w:szCs w:val="36"/>
        </w:rPr>
        <w:t xml:space="preserve"> May 3</w:t>
      </w:r>
      <w:r w:rsidR="00D84C7F">
        <w:rPr>
          <w:rFonts w:ascii="Arial" w:hAnsi="Arial" w:cs="Arial"/>
          <w:color w:val="092F57"/>
          <w:sz w:val="32"/>
          <w:szCs w:val="36"/>
        </w:rPr>
        <w:t>, 202</w:t>
      </w:r>
      <w:r w:rsidR="00FB73E2">
        <w:rPr>
          <w:rFonts w:ascii="Arial" w:hAnsi="Arial" w:cs="Arial"/>
          <w:color w:val="092F57"/>
          <w:sz w:val="32"/>
          <w:szCs w:val="36"/>
        </w:rPr>
        <w:t>1</w:t>
      </w:r>
    </w:p>
    <w:p w14:paraId="2ED8D2ED" w14:textId="77777777" w:rsidR="00780464" w:rsidRDefault="00780464" w:rsidP="00780464">
      <w:pPr>
        <w:pStyle w:val="StyleToolordeliverablenameCustomColorRGB039118Left"/>
        <w:spacing w:before="0"/>
        <w:ind w:left="0"/>
        <w:rPr>
          <w:rFonts w:ascii="Arial" w:hAnsi="Arial" w:cs="Arial"/>
          <w:color w:val="092F57"/>
          <w:sz w:val="32"/>
          <w:szCs w:val="36"/>
        </w:rPr>
      </w:pPr>
    </w:p>
    <w:p w14:paraId="4F20A696" w14:textId="77777777" w:rsidR="00780464" w:rsidRDefault="00780464" w:rsidP="00780464">
      <w:pPr>
        <w:pStyle w:val="StyleToolordeliverablenameCustomColorRGB039118Left"/>
        <w:spacing w:before="0"/>
        <w:ind w:left="0"/>
        <w:rPr>
          <w:rFonts w:ascii="Arial" w:hAnsi="Arial" w:cs="Arial"/>
          <w:color w:val="092F57"/>
          <w:sz w:val="32"/>
          <w:szCs w:val="36"/>
        </w:rPr>
      </w:pPr>
    </w:p>
    <w:p w14:paraId="32A3B630" w14:textId="77777777" w:rsidR="00780464" w:rsidRDefault="00780464" w:rsidP="00780464">
      <w:pPr>
        <w:pStyle w:val="StyleToolordeliverablenameCustomColorRGB039118Left"/>
        <w:spacing w:before="0"/>
        <w:ind w:left="0"/>
        <w:rPr>
          <w:rFonts w:ascii="Arial" w:hAnsi="Arial" w:cs="Arial"/>
          <w:color w:val="092F57"/>
          <w:sz w:val="32"/>
          <w:szCs w:val="36"/>
        </w:rPr>
      </w:pPr>
    </w:p>
    <w:p w14:paraId="4D912647" w14:textId="77777777" w:rsidR="00780464" w:rsidRDefault="00780464" w:rsidP="00780464">
      <w:pPr>
        <w:pStyle w:val="StyleToolordeliverablenameCustomColorRGB039118Left"/>
        <w:spacing w:before="0"/>
        <w:ind w:left="0"/>
        <w:rPr>
          <w:rFonts w:ascii="Arial" w:hAnsi="Arial" w:cs="Arial"/>
          <w:color w:val="092F57"/>
          <w:sz w:val="32"/>
          <w:szCs w:val="36"/>
        </w:rPr>
      </w:pPr>
    </w:p>
    <w:p w14:paraId="54765FA3" w14:textId="77777777" w:rsidR="00780464" w:rsidRDefault="00780464" w:rsidP="00780464">
      <w:pPr>
        <w:pStyle w:val="StyleToolordeliverablenameCustomColorRGB039118Left"/>
        <w:spacing w:before="0"/>
        <w:ind w:left="0"/>
        <w:rPr>
          <w:rFonts w:ascii="Arial" w:hAnsi="Arial" w:cs="Arial"/>
          <w:color w:val="092F57"/>
          <w:sz w:val="32"/>
          <w:szCs w:val="36"/>
        </w:rPr>
      </w:pPr>
    </w:p>
    <w:p w14:paraId="5C3FD4FE" w14:textId="77777777" w:rsidR="00780464" w:rsidRPr="002D2121" w:rsidRDefault="00780464" w:rsidP="00780464">
      <w:pPr>
        <w:pStyle w:val="StyleToolordeliverablenameCustomColorRGB039118Left"/>
        <w:spacing w:before="0"/>
        <w:ind w:left="0"/>
        <w:jc w:val="center"/>
        <w:rPr>
          <w:rFonts w:ascii="Arial" w:hAnsi="Arial" w:cs="Arial"/>
          <w:color w:val="092F57"/>
          <w:sz w:val="32"/>
          <w:szCs w:val="36"/>
        </w:rPr>
      </w:pPr>
      <w:r>
        <w:rPr>
          <w:noProof/>
        </w:rPr>
        <w:drawing>
          <wp:inline distT="0" distB="0" distL="0" distR="0" wp14:anchorId="5B25978C" wp14:editId="4C33B64B">
            <wp:extent cx="1234440" cy="351790"/>
            <wp:effectExtent l="0" t="0" r="3810" b="0"/>
            <wp:docPr id="4" name="Picture 4"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p w14:paraId="17DAF9E1" w14:textId="77777777" w:rsidR="00A155EE" w:rsidRDefault="00A155EE" w:rsidP="002D2121">
      <w:pPr>
        <w:pStyle w:val="StyleToolordeliverablenameCustomColorRGB039118Left"/>
        <w:spacing w:before="0"/>
        <w:ind w:left="0"/>
        <w:rPr>
          <w:rFonts w:ascii="Arial" w:hAnsi="Arial" w:cs="Arial"/>
          <w:b/>
          <w:color w:val="092F57"/>
          <w:sz w:val="48"/>
        </w:rPr>
      </w:pPr>
    </w:p>
    <w:p w14:paraId="46B0EBE7" w14:textId="77777777" w:rsidR="00A155EE" w:rsidRDefault="00A155EE" w:rsidP="002D2121">
      <w:pPr>
        <w:pStyle w:val="StyleToolordeliverablenameCustomColorRGB039118Left"/>
        <w:spacing w:before="0"/>
        <w:ind w:left="0"/>
        <w:rPr>
          <w:rFonts w:ascii="Arial" w:hAnsi="Arial" w:cs="Arial"/>
          <w:b/>
          <w:color w:val="092F57"/>
          <w:sz w:val="48"/>
        </w:rPr>
      </w:pPr>
    </w:p>
    <w:p w14:paraId="0C56DB7B" w14:textId="77777777" w:rsidR="00A155EE" w:rsidRDefault="00A155EE" w:rsidP="002D2121">
      <w:pPr>
        <w:pStyle w:val="StyleToolordeliverablenameCustomColorRGB039118Left"/>
        <w:spacing w:before="0"/>
        <w:ind w:left="0"/>
        <w:jc w:val="center"/>
        <w:rPr>
          <w:rFonts w:ascii="Arial" w:hAnsi="Arial" w:cs="Arial"/>
          <w:b/>
          <w:color w:val="092F57"/>
          <w:sz w:val="48"/>
        </w:rPr>
      </w:pPr>
    </w:p>
    <w:p w14:paraId="7B2EB9FF" w14:textId="77777777" w:rsidR="00A155EE" w:rsidRDefault="00A155EE" w:rsidP="002D2121">
      <w:pPr>
        <w:pStyle w:val="StyleToolordeliverablenameCustomColorRGB039118Left"/>
        <w:spacing w:before="0"/>
        <w:ind w:left="0"/>
        <w:jc w:val="center"/>
        <w:rPr>
          <w:rFonts w:ascii="Arial" w:hAnsi="Arial" w:cs="Arial"/>
          <w:b/>
          <w:color w:val="092F57"/>
          <w:sz w:val="48"/>
        </w:rPr>
      </w:pPr>
    </w:p>
    <w:p w14:paraId="4AA2744E" w14:textId="77777777" w:rsidR="00D84C7F" w:rsidRDefault="00D84C7F" w:rsidP="002D2121">
      <w:pPr>
        <w:pStyle w:val="StyleToolordeliverablenameCustomColorRGB039118Left"/>
        <w:spacing w:before="0"/>
        <w:ind w:left="0"/>
        <w:jc w:val="center"/>
        <w:rPr>
          <w:rFonts w:ascii="Arial" w:hAnsi="Arial" w:cs="Arial"/>
          <w:b/>
          <w:color w:val="092F57"/>
          <w:sz w:val="48"/>
        </w:rPr>
      </w:pPr>
    </w:p>
    <w:p w14:paraId="5554BA2A" w14:textId="77777777" w:rsidR="00D84C7F" w:rsidRDefault="00D84C7F" w:rsidP="002D2121">
      <w:pPr>
        <w:pStyle w:val="StyleToolordeliverablenameCustomColorRGB039118Left"/>
        <w:spacing w:before="0"/>
        <w:ind w:left="0"/>
        <w:jc w:val="center"/>
        <w:rPr>
          <w:rFonts w:ascii="Arial" w:hAnsi="Arial" w:cs="Arial"/>
          <w:b/>
          <w:color w:val="092F57"/>
          <w:sz w:val="48"/>
        </w:rPr>
      </w:pPr>
    </w:p>
    <w:p w14:paraId="2E76B154" w14:textId="77777777" w:rsidR="00D84C7F" w:rsidRDefault="00D84C7F" w:rsidP="002D2121">
      <w:pPr>
        <w:pStyle w:val="StyleToolordeliverablenameCustomColorRGB039118Left"/>
        <w:spacing w:before="0"/>
        <w:ind w:left="0"/>
        <w:jc w:val="center"/>
        <w:rPr>
          <w:rFonts w:ascii="Arial" w:hAnsi="Arial" w:cs="Arial"/>
          <w:b/>
          <w:color w:val="092F57"/>
          <w:sz w:val="48"/>
        </w:rPr>
      </w:pPr>
    </w:p>
    <w:p w14:paraId="1A7DB5B7" w14:textId="77777777" w:rsidR="00D84C7F" w:rsidRDefault="00D84C7F" w:rsidP="002D2121">
      <w:pPr>
        <w:pStyle w:val="StyleToolordeliverablenameCustomColorRGB039118Left"/>
        <w:spacing w:before="0"/>
        <w:ind w:left="0"/>
        <w:jc w:val="center"/>
        <w:rPr>
          <w:rFonts w:ascii="Arial" w:hAnsi="Arial" w:cs="Arial"/>
          <w:b/>
          <w:color w:val="092F57"/>
          <w:sz w:val="48"/>
        </w:rPr>
      </w:pPr>
    </w:p>
    <w:p w14:paraId="63B0EAEB" w14:textId="77777777" w:rsidR="00D84C7F" w:rsidRDefault="00D84C7F" w:rsidP="002D2121">
      <w:pPr>
        <w:pStyle w:val="StyleToolordeliverablenameCustomColorRGB039118Left"/>
        <w:spacing w:before="0"/>
        <w:ind w:left="0"/>
        <w:jc w:val="center"/>
        <w:rPr>
          <w:rFonts w:ascii="Arial" w:hAnsi="Arial" w:cs="Arial"/>
          <w:b/>
          <w:color w:val="092F57"/>
          <w:sz w:val="48"/>
        </w:rPr>
      </w:pPr>
    </w:p>
    <w:p w14:paraId="1531377A" w14:textId="77777777" w:rsidR="00767D97" w:rsidRPr="005B2CA5" w:rsidRDefault="00767D97" w:rsidP="005B2CA5">
      <w:pPr>
        <w:pStyle w:val="DocumentControlInformation"/>
      </w:pPr>
      <w:bookmarkStart w:id="1" w:name="_Ref226997186"/>
      <w:bookmarkStart w:id="2" w:name="_Toc415885907"/>
      <w:bookmarkStart w:id="3" w:name="_Toc445520353"/>
      <w:bookmarkStart w:id="4" w:name="_Toc523032770"/>
      <w:bookmarkEnd w:id="0"/>
      <w:r w:rsidRPr="005B2CA5">
        <w:lastRenderedPageBreak/>
        <w:t>Document Control Information</w:t>
      </w:r>
      <w:bookmarkEnd w:id="1"/>
    </w:p>
    <w:p w14:paraId="1C2A11B3" w14:textId="77777777" w:rsidR="00767D97" w:rsidRPr="005B2CA5" w:rsidRDefault="00767D97" w:rsidP="005B2CA5">
      <w:pPr>
        <w:pStyle w:val="DocumentInformation"/>
      </w:pPr>
      <w:r w:rsidRPr="005B2CA5">
        <w:t>Document Information</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14" w:type="dxa"/>
          <w:left w:w="115" w:type="dxa"/>
          <w:bottom w:w="14" w:type="dxa"/>
          <w:right w:w="115" w:type="dxa"/>
        </w:tblCellMar>
        <w:tblLook w:val="0000" w:firstRow="0" w:lastRow="0" w:firstColumn="0" w:lastColumn="0" w:noHBand="0" w:noVBand="0"/>
      </w:tblPr>
      <w:tblGrid>
        <w:gridCol w:w="3155"/>
        <w:gridCol w:w="6205"/>
      </w:tblGrid>
      <w:tr w:rsidR="0001505F" w:rsidRPr="005B2CA5" w14:paraId="45F6E661" w14:textId="77777777" w:rsidTr="006D0F3C">
        <w:trPr>
          <w:trHeight w:val="288"/>
          <w:jc w:val="center"/>
        </w:trPr>
        <w:tc>
          <w:tcPr>
            <w:tcW w:w="3114" w:type="dxa"/>
            <w:shd w:val="clear" w:color="auto" w:fill="auto"/>
            <w:vAlign w:val="center"/>
          </w:tcPr>
          <w:p w14:paraId="14F5B35B" w14:textId="77777777" w:rsidR="0001505F" w:rsidRPr="00DA66F7" w:rsidRDefault="0001505F" w:rsidP="00612C4E">
            <w:pPr>
              <w:pStyle w:val="Bodycopybold"/>
              <w:spacing w:before="60" w:after="60"/>
              <w:rPr>
                <w:sz w:val="18"/>
              </w:rPr>
            </w:pPr>
            <w:r w:rsidRPr="00DA66F7">
              <w:rPr>
                <w:sz w:val="18"/>
              </w:rPr>
              <w:t>Document Identification</w:t>
            </w:r>
          </w:p>
        </w:tc>
        <w:tc>
          <w:tcPr>
            <w:tcW w:w="6125" w:type="dxa"/>
            <w:vAlign w:val="center"/>
          </w:tcPr>
          <w:p w14:paraId="30EE6DCC" w14:textId="77777777" w:rsidR="0001505F" w:rsidRPr="00DA66F7" w:rsidRDefault="00D97D87" w:rsidP="00612C4E">
            <w:pPr>
              <w:pStyle w:val="Documentname"/>
              <w:spacing w:before="60" w:after="60"/>
              <w:rPr>
                <w:sz w:val="18"/>
                <w:lang w:val="en-US"/>
              </w:rPr>
            </w:pPr>
            <w:r w:rsidRPr="00DA66F7">
              <w:rPr>
                <w:sz w:val="18"/>
                <w:lang w:val="en-US"/>
              </w:rPr>
              <w:t>DEL – 020</w:t>
            </w:r>
          </w:p>
        </w:tc>
      </w:tr>
      <w:tr w:rsidR="00767D97" w:rsidRPr="005B2CA5" w14:paraId="6687599E" w14:textId="77777777" w:rsidTr="006D0F3C">
        <w:trPr>
          <w:trHeight w:val="288"/>
          <w:jc w:val="center"/>
        </w:trPr>
        <w:tc>
          <w:tcPr>
            <w:tcW w:w="3114" w:type="dxa"/>
            <w:shd w:val="clear" w:color="auto" w:fill="auto"/>
            <w:vAlign w:val="center"/>
          </w:tcPr>
          <w:p w14:paraId="2BF0E4B7" w14:textId="77777777" w:rsidR="00767D97" w:rsidRPr="00DA66F7" w:rsidRDefault="00582E63" w:rsidP="00612C4E">
            <w:pPr>
              <w:pStyle w:val="Bodycopybold"/>
              <w:spacing w:before="60" w:after="60"/>
              <w:rPr>
                <w:sz w:val="18"/>
              </w:rPr>
            </w:pPr>
            <w:r w:rsidRPr="00DA66F7">
              <w:rPr>
                <w:sz w:val="18"/>
              </w:rPr>
              <w:t>Document Name</w:t>
            </w:r>
          </w:p>
        </w:tc>
        <w:tc>
          <w:tcPr>
            <w:tcW w:w="6125" w:type="dxa"/>
            <w:vAlign w:val="center"/>
          </w:tcPr>
          <w:p w14:paraId="53831346" w14:textId="77777777" w:rsidR="006616F2" w:rsidRPr="00DA66F7" w:rsidRDefault="00674DF4" w:rsidP="00612C4E">
            <w:pPr>
              <w:pStyle w:val="Documentname"/>
              <w:spacing w:before="60" w:after="60"/>
              <w:rPr>
                <w:sz w:val="18"/>
                <w:lang w:val="en-US"/>
              </w:rPr>
            </w:pPr>
            <w:r>
              <w:rPr>
                <w:sz w:val="18"/>
                <w:lang w:val="en-US"/>
              </w:rPr>
              <w:t>Chart of Accounts</w:t>
            </w:r>
            <w:r w:rsidR="00D97D87" w:rsidRPr="00DA66F7">
              <w:rPr>
                <w:sz w:val="18"/>
                <w:lang w:val="en-US"/>
              </w:rPr>
              <w:t xml:space="preserve"> Design</w:t>
            </w:r>
          </w:p>
        </w:tc>
      </w:tr>
      <w:tr w:rsidR="00767D97" w:rsidRPr="005B2CA5" w14:paraId="4224B51C" w14:textId="77777777" w:rsidTr="006D0F3C">
        <w:trPr>
          <w:trHeight w:val="288"/>
          <w:jc w:val="center"/>
        </w:trPr>
        <w:tc>
          <w:tcPr>
            <w:tcW w:w="3114" w:type="dxa"/>
            <w:shd w:val="clear" w:color="auto" w:fill="auto"/>
            <w:vAlign w:val="center"/>
          </w:tcPr>
          <w:p w14:paraId="7185DF88" w14:textId="77777777" w:rsidR="00767D97" w:rsidRPr="005B2CA5" w:rsidRDefault="00582E63" w:rsidP="00612C4E">
            <w:pPr>
              <w:pStyle w:val="Bodycopybold"/>
              <w:spacing w:before="60" w:after="60"/>
              <w:rPr>
                <w:sz w:val="18"/>
              </w:rPr>
            </w:pPr>
            <w:r w:rsidRPr="005B2CA5">
              <w:rPr>
                <w:sz w:val="18"/>
              </w:rPr>
              <w:t>Project Name</w:t>
            </w:r>
          </w:p>
        </w:tc>
        <w:tc>
          <w:tcPr>
            <w:tcW w:w="6125" w:type="dxa"/>
            <w:vAlign w:val="center"/>
          </w:tcPr>
          <w:p w14:paraId="37DD5C24" w14:textId="77777777" w:rsidR="00767D97" w:rsidRPr="005B2CA5" w:rsidRDefault="00E860E8" w:rsidP="00612C4E">
            <w:pPr>
              <w:pStyle w:val="Insertnameoftheproject"/>
              <w:spacing w:before="60" w:after="60"/>
              <w:rPr>
                <w:sz w:val="18"/>
                <w:lang w:val="en-US"/>
              </w:rPr>
            </w:pPr>
            <w:r w:rsidRPr="005B2CA5">
              <w:rPr>
                <w:sz w:val="18"/>
                <w:lang w:val="en-US"/>
              </w:rPr>
              <w:t>Luma</w:t>
            </w:r>
          </w:p>
        </w:tc>
      </w:tr>
      <w:tr w:rsidR="00767D97" w:rsidRPr="005B2CA5" w14:paraId="6AA7C5C4" w14:textId="77777777" w:rsidTr="006D0F3C">
        <w:trPr>
          <w:trHeight w:val="288"/>
          <w:jc w:val="center"/>
        </w:trPr>
        <w:tc>
          <w:tcPr>
            <w:tcW w:w="3114" w:type="dxa"/>
            <w:shd w:val="clear" w:color="auto" w:fill="auto"/>
            <w:vAlign w:val="center"/>
          </w:tcPr>
          <w:p w14:paraId="1544B975" w14:textId="77777777" w:rsidR="00767D97" w:rsidRPr="005B2CA5" w:rsidRDefault="00A9225F" w:rsidP="00612C4E">
            <w:pPr>
              <w:pStyle w:val="Bodycopybold"/>
              <w:spacing w:before="60" w:after="60"/>
              <w:rPr>
                <w:sz w:val="18"/>
              </w:rPr>
            </w:pPr>
            <w:r w:rsidRPr="005B2CA5">
              <w:rPr>
                <w:sz w:val="18"/>
              </w:rPr>
              <w:t>Client</w:t>
            </w:r>
          </w:p>
        </w:tc>
        <w:tc>
          <w:tcPr>
            <w:tcW w:w="6125" w:type="dxa"/>
            <w:vAlign w:val="center"/>
          </w:tcPr>
          <w:p w14:paraId="088B7F85" w14:textId="77777777" w:rsidR="00767D97" w:rsidRPr="005B2CA5" w:rsidRDefault="00E860E8" w:rsidP="00612C4E">
            <w:pPr>
              <w:pStyle w:val="Bodycopy"/>
              <w:spacing w:before="60" w:after="60"/>
              <w:rPr>
                <w:color w:val="auto"/>
                <w:sz w:val="18"/>
              </w:rPr>
            </w:pPr>
            <w:r w:rsidRPr="005B2CA5">
              <w:rPr>
                <w:color w:val="auto"/>
                <w:sz w:val="18"/>
              </w:rPr>
              <w:t xml:space="preserve">State of </w:t>
            </w:r>
            <w:r w:rsidR="006C12FE" w:rsidRPr="005B2CA5">
              <w:rPr>
                <w:color w:val="auto"/>
                <w:sz w:val="18"/>
              </w:rPr>
              <w:t>Idaho</w:t>
            </w:r>
            <w:r w:rsidR="00BF6C70" w:rsidRPr="005B2CA5">
              <w:rPr>
                <w:color w:val="auto"/>
                <w:sz w:val="18"/>
              </w:rPr>
              <w:t>, Office of the State Controller</w:t>
            </w:r>
          </w:p>
        </w:tc>
      </w:tr>
      <w:tr w:rsidR="00767D97" w:rsidRPr="005B2CA5" w14:paraId="5F63BE33" w14:textId="77777777" w:rsidTr="006D0F3C">
        <w:trPr>
          <w:trHeight w:val="288"/>
          <w:jc w:val="center"/>
        </w:trPr>
        <w:tc>
          <w:tcPr>
            <w:tcW w:w="3114" w:type="dxa"/>
            <w:shd w:val="clear" w:color="auto" w:fill="auto"/>
            <w:vAlign w:val="center"/>
          </w:tcPr>
          <w:p w14:paraId="415ACFBD" w14:textId="77777777" w:rsidR="00767D97" w:rsidRPr="005B2CA5" w:rsidRDefault="00582E63" w:rsidP="00612C4E">
            <w:pPr>
              <w:pStyle w:val="Bodycopybold"/>
              <w:spacing w:before="60" w:after="60"/>
              <w:rPr>
                <w:sz w:val="18"/>
              </w:rPr>
            </w:pPr>
            <w:r w:rsidRPr="005B2CA5">
              <w:rPr>
                <w:sz w:val="18"/>
              </w:rPr>
              <w:t>Document Author</w:t>
            </w:r>
          </w:p>
        </w:tc>
        <w:tc>
          <w:tcPr>
            <w:tcW w:w="6125" w:type="dxa"/>
            <w:vAlign w:val="center"/>
          </w:tcPr>
          <w:p w14:paraId="53E04FD7" w14:textId="77777777" w:rsidR="00767D97" w:rsidRPr="005B2CA5" w:rsidRDefault="00D97D87" w:rsidP="00612C4E">
            <w:pPr>
              <w:pStyle w:val="Bodycopy"/>
              <w:spacing w:before="60" w:after="60"/>
              <w:rPr>
                <w:color w:val="auto"/>
                <w:sz w:val="18"/>
              </w:rPr>
            </w:pPr>
            <w:r>
              <w:rPr>
                <w:color w:val="auto"/>
                <w:sz w:val="18"/>
              </w:rPr>
              <w:t>Brent Stigler</w:t>
            </w:r>
          </w:p>
        </w:tc>
      </w:tr>
      <w:tr w:rsidR="00767D97" w:rsidRPr="005B2CA5" w14:paraId="279EF214" w14:textId="77777777" w:rsidTr="006D0F3C">
        <w:trPr>
          <w:trHeight w:val="288"/>
          <w:jc w:val="center"/>
        </w:trPr>
        <w:tc>
          <w:tcPr>
            <w:tcW w:w="3114" w:type="dxa"/>
            <w:shd w:val="clear" w:color="auto" w:fill="auto"/>
            <w:vAlign w:val="center"/>
          </w:tcPr>
          <w:p w14:paraId="1084953A" w14:textId="77777777" w:rsidR="00767D97" w:rsidRPr="005B2CA5" w:rsidRDefault="00582E63" w:rsidP="00612C4E">
            <w:pPr>
              <w:pStyle w:val="Bodycopybold"/>
              <w:spacing w:before="60" w:after="60"/>
              <w:rPr>
                <w:sz w:val="18"/>
              </w:rPr>
            </w:pPr>
            <w:r w:rsidRPr="005B2CA5">
              <w:rPr>
                <w:sz w:val="18"/>
              </w:rPr>
              <w:t>Document Version</w:t>
            </w:r>
          </w:p>
        </w:tc>
        <w:tc>
          <w:tcPr>
            <w:tcW w:w="6125" w:type="dxa"/>
            <w:vAlign w:val="center"/>
          </w:tcPr>
          <w:p w14:paraId="495D9EB9" w14:textId="5D96AA83" w:rsidR="00767D97" w:rsidRPr="005B2CA5" w:rsidRDefault="00DF0920" w:rsidP="00612C4E">
            <w:pPr>
              <w:pStyle w:val="Bodycopy"/>
              <w:spacing w:before="60" w:after="60"/>
              <w:rPr>
                <w:color w:val="auto"/>
                <w:sz w:val="18"/>
              </w:rPr>
            </w:pPr>
            <w:r>
              <w:rPr>
                <w:color w:val="auto"/>
                <w:sz w:val="18"/>
              </w:rPr>
              <w:t>3.</w:t>
            </w:r>
            <w:r w:rsidR="00D97D87">
              <w:rPr>
                <w:color w:val="auto"/>
                <w:sz w:val="18"/>
              </w:rPr>
              <w:t>0</w:t>
            </w:r>
          </w:p>
        </w:tc>
      </w:tr>
      <w:tr w:rsidR="00767D97" w:rsidRPr="005B2CA5" w14:paraId="710455F9" w14:textId="77777777" w:rsidTr="006D0F3C">
        <w:trPr>
          <w:trHeight w:val="288"/>
          <w:jc w:val="center"/>
        </w:trPr>
        <w:tc>
          <w:tcPr>
            <w:tcW w:w="3114" w:type="dxa"/>
            <w:shd w:val="clear" w:color="auto" w:fill="auto"/>
            <w:vAlign w:val="center"/>
          </w:tcPr>
          <w:p w14:paraId="17B9BF10" w14:textId="77777777" w:rsidR="00767D97" w:rsidRPr="005B2CA5" w:rsidRDefault="0061526A" w:rsidP="00612C4E">
            <w:pPr>
              <w:pStyle w:val="Bodycopybold"/>
              <w:spacing w:before="60" w:after="60"/>
              <w:rPr>
                <w:sz w:val="18"/>
              </w:rPr>
            </w:pPr>
            <w:r w:rsidRPr="005B2CA5">
              <w:rPr>
                <w:sz w:val="18"/>
              </w:rPr>
              <w:t xml:space="preserve">Document </w:t>
            </w:r>
            <w:r w:rsidR="00582E63" w:rsidRPr="005B2CA5">
              <w:rPr>
                <w:sz w:val="18"/>
              </w:rPr>
              <w:t>Status</w:t>
            </w:r>
          </w:p>
        </w:tc>
        <w:tc>
          <w:tcPr>
            <w:tcW w:w="6125" w:type="dxa"/>
            <w:vAlign w:val="center"/>
          </w:tcPr>
          <w:p w14:paraId="4BE37B77" w14:textId="77777777" w:rsidR="00767D97" w:rsidRPr="005B2CA5" w:rsidRDefault="004823C2" w:rsidP="00612C4E">
            <w:pPr>
              <w:pStyle w:val="Bodycopy"/>
              <w:spacing w:before="60" w:after="60"/>
              <w:rPr>
                <w:color w:val="auto"/>
                <w:sz w:val="18"/>
              </w:rPr>
            </w:pPr>
            <w:r>
              <w:rPr>
                <w:color w:val="auto"/>
                <w:sz w:val="18"/>
              </w:rPr>
              <w:t>Final</w:t>
            </w:r>
          </w:p>
        </w:tc>
      </w:tr>
      <w:tr w:rsidR="00767D97" w:rsidRPr="005B2CA5" w14:paraId="716B0BCB" w14:textId="77777777" w:rsidTr="006D0F3C">
        <w:trPr>
          <w:trHeight w:val="288"/>
          <w:jc w:val="center"/>
        </w:trPr>
        <w:tc>
          <w:tcPr>
            <w:tcW w:w="3114" w:type="dxa"/>
            <w:shd w:val="clear" w:color="auto" w:fill="auto"/>
            <w:vAlign w:val="center"/>
          </w:tcPr>
          <w:p w14:paraId="4E63382D" w14:textId="77777777" w:rsidR="00767D97" w:rsidRPr="005B2CA5" w:rsidRDefault="00582E63" w:rsidP="00612C4E">
            <w:pPr>
              <w:pStyle w:val="Bodycopybold"/>
              <w:spacing w:before="60" w:after="60"/>
              <w:rPr>
                <w:sz w:val="18"/>
              </w:rPr>
            </w:pPr>
            <w:r w:rsidRPr="005B2CA5">
              <w:rPr>
                <w:sz w:val="18"/>
              </w:rPr>
              <w:t>Date Released</w:t>
            </w:r>
          </w:p>
        </w:tc>
        <w:tc>
          <w:tcPr>
            <w:tcW w:w="6125" w:type="dxa"/>
            <w:vAlign w:val="center"/>
          </w:tcPr>
          <w:p w14:paraId="4F6F06F7" w14:textId="77777777" w:rsidR="00767D97" w:rsidRPr="005B2CA5" w:rsidRDefault="00D97D87" w:rsidP="00612C4E">
            <w:pPr>
              <w:pStyle w:val="Bodycopy"/>
              <w:spacing w:before="60" w:after="60"/>
              <w:rPr>
                <w:color w:val="auto"/>
                <w:sz w:val="18"/>
              </w:rPr>
            </w:pPr>
            <w:r>
              <w:rPr>
                <w:color w:val="auto"/>
                <w:sz w:val="18"/>
              </w:rPr>
              <w:t xml:space="preserve">February </w:t>
            </w:r>
            <w:r w:rsidR="004823C2">
              <w:rPr>
                <w:color w:val="auto"/>
                <w:sz w:val="18"/>
              </w:rPr>
              <w:t>25</w:t>
            </w:r>
            <w:r>
              <w:rPr>
                <w:color w:val="auto"/>
                <w:sz w:val="18"/>
              </w:rPr>
              <w:t>, 2020</w:t>
            </w:r>
          </w:p>
        </w:tc>
      </w:tr>
      <w:tr w:rsidR="00F92178" w:rsidRPr="005B2CA5" w14:paraId="198C55EF" w14:textId="77777777" w:rsidTr="006D0F3C">
        <w:trPr>
          <w:trHeight w:val="288"/>
          <w:jc w:val="center"/>
        </w:trPr>
        <w:tc>
          <w:tcPr>
            <w:tcW w:w="3114" w:type="dxa"/>
            <w:shd w:val="clear" w:color="auto" w:fill="auto"/>
            <w:vAlign w:val="center"/>
          </w:tcPr>
          <w:p w14:paraId="32B05153" w14:textId="77777777" w:rsidR="00F92178" w:rsidRPr="005B2CA5" w:rsidRDefault="00F92178" w:rsidP="00612C4E">
            <w:pPr>
              <w:pStyle w:val="Bodycopybold"/>
              <w:spacing w:before="60" w:after="60"/>
              <w:rPr>
                <w:sz w:val="18"/>
              </w:rPr>
            </w:pPr>
            <w:r w:rsidRPr="005B2CA5">
              <w:rPr>
                <w:sz w:val="18"/>
              </w:rPr>
              <w:t>File Name</w:t>
            </w:r>
          </w:p>
        </w:tc>
        <w:tc>
          <w:tcPr>
            <w:tcW w:w="6125" w:type="dxa"/>
            <w:vAlign w:val="center"/>
          </w:tcPr>
          <w:p w14:paraId="312CAA41" w14:textId="77777777" w:rsidR="00F92178" w:rsidRPr="005B2CA5" w:rsidRDefault="00D97D87" w:rsidP="00612C4E">
            <w:pPr>
              <w:pStyle w:val="FileName"/>
              <w:spacing w:before="60" w:after="60"/>
              <w:rPr>
                <w:sz w:val="18"/>
              </w:rPr>
            </w:pPr>
            <w:r>
              <w:rPr>
                <w:sz w:val="18"/>
              </w:rPr>
              <w:t>Deliverable_020_</w:t>
            </w:r>
            <w:r w:rsidR="00674DF4">
              <w:rPr>
                <w:sz w:val="18"/>
              </w:rPr>
              <w:t>Chart of Accounts</w:t>
            </w:r>
            <w:r>
              <w:rPr>
                <w:sz w:val="18"/>
              </w:rPr>
              <w:t xml:space="preserve"> Design</w:t>
            </w:r>
            <w:r w:rsidR="003646D6">
              <w:rPr>
                <w:sz w:val="18"/>
              </w:rPr>
              <w:t>_</w:t>
            </w:r>
            <w:r w:rsidR="004F54D4">
              <w:rPr>
                <w:sz w:val="18"/>
              </w:rPr>
              <w:t>Final</w:t>
            </w:r>
            <w:r>
              <w:rPr>
                <w:sz w:val="18"/>
              </w:rPr>
              <w:t>.docx</w:t>
            </w:r>
          </w:p>
        </w:tc>
      </w:tr>
    </w:tbl>
    <w:p w14:paraId="37C96EE4" w14:textId="77777777" w:rsidR="00767D97" w:rsidRPr="00F3174C" w:rsidRDefault="00767D97" w:rsidP="005B2CA5">
      <w:pPr>
        <w:pStyle w:val="DocumentInformation"/>
      </w:pPr>
      <w:r w:rsidRPr="00F3174C">
        <w:t>Document Edit History</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246"/>
        <w:gridCol w:w="1924"/>
        <w:gridCol w:w="3481"/>
        <w:gridCol w:w="2709"/>
      </w:tblGrid>
      <w:tr w:rsidR="00767D97" w:rsidRPr="005B2CA5" w14:paraId="03AABD51" w14:textId="77777777" w:rsidTr="002D2121">
        <w:trPr>
          <w:trHeight w:val="317"/>
          <w:tblHeader/>
          <w:jc w:val="center"/>
        </w:trPr>
        <w:tc>
          <w:tcPr>
            <w:tcW w:w="1224"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45AFFC17" w14:textId="77777777" w:rsidR="00767D97" w:rsidRPr="005B2CA5" w:rsidRDefault="00767D97" w:rsidP="00612C4E">
            <w:pPr>
              <w:pStyle w:val="Tablehead1"/>
              <w:rPr>
                <w:rFonts w:ascii="Arial" w:hAnsi="Arial" w:cs="Arial"/>
                <w:szCs w:val="18"/>
              </w:rPr>
            </w:pPr>
            <w:r w:rsidRPr="005B2CA5">
              <w:rPr>
                <w:rFonts w:ascii="Arial" w:hAnsi="Arial" w:cs="Arial"/>
                <w:szCs w:val="18"/>
              </w:rPr>
              <w:t>Version</w:t>
            </w:r>
          </w:p>
        </w:tc>
        <w:tc>
          <w:tcPr>
            <w:tcW w:w="1890"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0B66E157" w14:textId="77777777" w:rsidR="00767D97" w:rsidRPr="005B2CA5" w:rsidRDefault="00767D97" w:rsidP="00612C4E">
            <w:pPr>
              <w:pStyle w:val="Tablehead1"/>
              <w:rPr>
                <w:rFonts w:ascii="Arial" w:hAnsi="Arial" w:cs="Arial"/>
                <w:szCs w:val="18"/>
              </w:rPr>
            </w:pPr>
            <w:r w:rsidRPr="005B2CA5">
              <w:rPr>
                <w:rFonts w:ascii="Arial" w:hAnsi="Arial" w:cs="Arial"/>
                <w:szCs w:val="18"/>
              </w:rPr>
              <w:t>Date</w:t>
            </w:r>
          </w:p>
        </w:tc>
        <w:tc>
          <w:tcPr>
            <w:tcW w:w="3420"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04DF7810" w14:textId="77777777" w:rsidR="00767D97" w:rsidRPr="005B2CA5" w:rsidRDefault="00767D97" w:rsidP="00612C4E">
            <w:pPr>
              <w:pStyle w:val="Tablehead1"/>
              <w:rPr>
                <w:rFonts w:ascii="Arial" w:hAnsi="Arial" w:cs="Arial"/>
                <w:szCs w:val="18"/>
              </w:rPr>
            </w:pPr>
            <w:r w:rsidRPr="005B2CA5">
              <w:rPr>
                <w:rFonts w:ascii="Arial" w:hAnsi="Arial" w:cs="Arial"/>
                <w:szCs w:val="18"/>
              </w:rPr>
              <w:t>Additions/Modifications</w:t>
            </w:r>
          </w:p>
        </w:tc>
        <w:tc>
          <w:tcPr>
            <w:tcW w:w="2662"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0C0DACCC" w14:textId="77777777" w:rsidR="00767D97" w:rsidRPr="005B2CA5" w:rsidRDefault="00F24363" w:rsidP="00612C4E">
            <w:pPr>
              <w:pStyle w:val="Tablehead1"/>
              <w:rPr>
                <w:rFonts w:ascii="Arial" w:hAnsi="Arial" w:cs="Arial"/>
                <w:szCs w:val="18"/>
              </w:rPr>
            </w:pPr>
            <w:r w:rsidRPr="005B2CA5">
              <w:rPr>
                <w:rFonts w:ascii="Arial" w:hAnsi="Arial" w:cs="Arial"/>
                <w:szCs w:val="18"/>
              </w:rPr>
              <w:t>Prepared</w:t>
            </w:r>
            <w:r w:rsidR="00724563" w:rsidRPr="005B2CA5">
              <w:rPr>
                <w:rFonts w:ascii="Arial" w:hAnsi="Arial" w:cs="Arial"/>
                <w:szCs w:val="18"/>
              </w:rPr>
              <w:t>/</w:t>
            </w:r>
            <w:r w:rsidR="00767D97" w:rsidRPr="005B2CA5">
              <w:rPr>
                <w:rFonts w:ascii="Arial" w:hAnsi="Arial" w:cs="Arial"/>
                <w:szCs w:val="18"/>
              </w:rPr>
              <w:t>Revised by</w:t>
            </w:r>
          </w:p>
        </w:tc>
      </w:tr>
      <w:tr w:rsidR="00767D97" w:rsidRPr="005B2CA5" w14:paraId="33CA6F35" w14:textId="77777777" w:rsidTr="00747819">
        <w:trPr>
          <w:jc w:val="center"/>
        </w:trPr>
        <w:tc>
          <w:tcPr>
            <w:tcW w:w="1224" w:type="dxa"/>
            <w:tcBorders>
              <w:top w:val="single" w:sz="4" w:space="0" w:color="FFFFFF"/>
            </w:tcBorders>
            <w:vAlign w:val="center"/>
          </w:tcPr>
          <w:p w14:paraId="482D9089" w14:textId="77777777" w:rsidR="00345552" w:rsidRPr="005B2CA5" w:rsidRDefault="00404827" w:rsidP="00612C4E">
            <w:pPr>
              <w:pStyle w:val="Tabletext"/>
            </w:pPr>
            <w:r w:rsidRPr="005B2CA5">
              <w:t>1</w:t>
            </w:r>
          </w:p>
        </w:tc>
        <w:tc>
          <w:tcPr>
            <w:tcW w:w="1890" w:type="dxa"/>
            <w:tcBorders>
              <w:top w:val="single" w:sz="4" w:space="0" w:color="FFFFFF"/>
            </w:tcBorders>
            <w:vAlign w:val="center"/>
          </w:tcPr>
          <w:p w14:paraId="170EB5E2" w14:textId="77777777" w:rsidR="00345552" w:rsidRPr="005B2CA5" w:rsidRDefault="00DA66F7" w:rsidP="00612C4E">
            <w:pPr>
              <w:pStyle w:val="Tabletext"/>
            </w:pPr>
            <w:r>
              <w:t>2/</w:t>
            </w:r>
            <w:r w:rsidR="004823C2">
              <w:t>25</w:t>
            </w:r>
            <w:r>
              <w:t>/2020</w:t>
            </w:r>
          </w:p>
        </w:tc>
        <w:tc>
          <w:tcPr>
            <w:tcW w:w="3420" w:type="dxa"/>
            <w:tcBorders>
              <w:top w:val="single" w:sz="4" w:space="0" w:color="FFFFFF"/>
            </w:tcBorders>
            <w:vAlign w:val="center"/>
          </w:tcPr>
          <w:p w14:paraId="2A6457F9" w14:textId="77777777" w:rsidR="00345552" w:rsidRPr="005B2CA5" w:rsidRDefault="004823C2" w:rsidP="00612C4E">
            <w:pPr>
              <w:pStyle w:val="Tabletext"/>
            </w:pPr>
            <w:r>
              <w:t>Final</w:t>
            </w:r>
          </w:p>
        </w:tc>
        <w:tc>
          <w:tcPr>
            <w:tcW w:w="2662" w:type="dxa"/>
            <w:tcBorders>
              <w:top w:val="single" w:sz="4" w:space="0" w:color="FFFFFF"/>
            </w:tcBorders>
            <w:vAlign w:val="center"/>
          </w:tcPr>
          <w:p w14:paraId="668FC020" w14:textId="77777777" w:rsidR="00345552" w:rsidRPr="005B2CA5" w:rsidRDefault="00DA66F7" w:rsidP="00612C4E">
            <w:pPr>
              <w:pStyle w:val="Tabletext"/>
            </w:pPr>
            <w:r>
              <w:t>Brent Stigler</w:t>
            </w:r>
          </w:p>
        </w:tc>
      </w:tr>
      <w:tr w:rsidR="00767D97" w:rsidRPr="005B2CA5" w14:paraId="52588BC5" w14:textId="77777777" w:rsidTr="00747819">
        <w:trPr>
          <w:jc w:val="center"/>
        </w:trPr>
        <w:tc>
          <w:tcPr>
            <w:tcW w:w="1224" w:type="dxa"/>
            <w:vAlign w:val="center"/>
          </w:tcPr>
          <w:p w14:paraId="78190716" w14:textId="5AE38394" w:rsidR="00767D97" w:rsidRPr="005B2CA5" w:rsidRDefault="005D1F0A" w:rsidP="00612C4E">
            <w:pPr>
              <w:spacing w:before="60" w:after="60"/>
              <w:rPr>
                <w:rFonts w:cs="Arial"/>
                <w:sz w:val="18"/>
                <w:szCs w:val="18"/>
              </w:rPr>
            </w:pPr>
            <w:r>
              <w:rPr>
                <w:rFonts w:cs="Arial"/>
                <w:sz w:val="18"/>
                <w:szCs w:val="18"/>
              </w:rPr>
              <w:t>2</w:t>
            </w:r>
          </w:p>
        </w:tc>
        <w:tc>
          <w:tcPr>
            <w:tcW w:w="1890" w:type="dxa"/>
            <w:vAlign w:val="center"/>
          </w:tcPr>
          <w:p w14:paraId="7331D817" w14:textId="491588A3" w:rsidR="00767D97" w:rsidRPr="005B2CA5" w:rsidRDefault="005D1F0A" w:rsidP="00612C4E">
            <w:pPr>
              <w:spacing w:before="60" w:after="60"/>
              <w:rPr>
                <w:rFonts w:cs="Arial"/>
                <w:sz w:val="18"/>
                <w:szCs w:val="18"/>
              </w:rPr>
            </w:pPr>
            <w:r>
              <w:rPr>
                <w:rFonts w:cs="Arial"/>
                <w:sz w:val="18"/>
                <w:szCs w:val="18"/>
              </w:rPr>
              <w:t>12/7/2020</w:t>
            </w:r>
          </w:p>
        </w:tc>
        <w:tc>
          <w:tcPr>
            <w:tcW w:w="3420" w:type="dxa"/>
            <w:vAlign w:val="center"/>
          </w:tcPr>
          <w:p w14:paraId="5A3BE95C" w14:textId="5285D14E" w:rsidR="00767D97" w:rsidRPr="005B2CA5" w:rsidRDefault="005D1F0A" w:rsidP="00612C4E">
            <w:pPr>
              <w:spacing w:before="60" w:after="60"/>
              <w:rPr>
                <w:rFonts w:cs="Arial"/>
                <w:sz w:val="18"/>
                <w:szCs w:val="18"/>
              </w:rPr>
            </w:pPr>
            <w:r>
              <w:rPr>
                <w:rFonts w:cs="Arial"/>
                <w:sz w:val="18"/>
                <w:szCs w:val="18"/>
              </w:rPr>
              <w:t>Additional Changes Based on Two New Dimensions and New Order of Dimensions.</w:t>
            </w:r>
          </w:p>
        </w:tc>
        <w:tc>
          <w:tcPr>
            <w:tcW w:w="2662" w:type="dxa"/>
            <w:vAlign w:val="center"/>
          </w:tcPr>
          <w:p w14:paraId="477443C4" w14:textId="4EDFA872" w:rsidR="00767D97" w:rsidRPr="005B2CA5" w:rsidRDefault="005D1F0A" w:rsidP="00612C4E">
            <w:pPr>
              <w:spacing w:before="60" w:after="60"/>
              <w:rPr>
                <w:rFonts w:cs="Arial"/>
                <w:sz w:val="18"/>
                <w:szCs w:val="18"/>
              </w:rPr>
            </w:pPr>
            <w:r>
              <w:rPr>
                <w:rFonts w:cs="Arial"/>
                <w:sz w:val="18"/>
                <w:szCs w:val="18"/>
              </w:rPr>
              <w:t>Tyler Odenath</w:t>
            </w:r>
          </w:p>
        </w:tc>
      </w:tr>
      <w:tr w:rsidR="00767D97" w:rsidRPr="005B2CA5" w14:paraId="36D68906" w14:textId="77777777" w:rsidTr="00747819">
        <w:trPr>
          <w:jc w:val="center"/>
        </w:trPr>
        <w:tc>
          <w:tcPr>
            <w:tcW w:w="1224" w:type="dxa"/>
            <w:vAlign w:val="center"/>
          </w:tcPr>
          <w:p w14:paraId="29F6EF0B" w14:textId="63B07AE3" w:rsidR="00767D97" w:rsidRPr="005B2CA5" w:rsidRDefault="00DF0920" w:rsidP="00612C4E">
            <w:pPr>
              <w:spacing w:before="60" w:after="60"/>
              <w:rPr>
                <w:rFonts w:cs="Arial"/>
                <w:sz w:val="18"/>
                <w:szCs w:val="18"/>
              </w:rPr>
            </w:pPr>
            <w:r>
              <w:rPr>
                <w:rFonts w:cs="Arial"/>
                <w:sz w:val="18"/>
                <w:szCs w:val="18"/>
              </w:rPr>
              <w:t>3</w:t>
            </w:r>
          </w:p>
        </w:tc>
        <w:tc>
          <w:tcPr>
            <w:tcW w:w="1890" w:type="dxa"/>
            <w:vAlign w:val="center"/>
          </w:tcPr>
          <w:p w14:paraId="013D30BF" w14:textId="15216E2C" w:rsidR="00767D97" w:rsidRPr="005B2CA5" w:rsidRDefault="00DF0920" w:rsidP="00612C4E">
            <w:pPr>
              <w:spacing w:before="60" w:after="60"/>
              <w:rPr>
                <w:rFonts w:cs="Arial"/>
                <w:sz w:val="18"/>
                <w:szCs w:val="18"/>
              </w:rPr>
            </w:pPr>
            <w:r>
              <w:rPr>
                <w:rFonts w:cs="Arial"/>
                <w:sz w:val="18"/>
                <w:szCs w:val="18"/>
              </w:rPr>
              <w:t>4/5/2021</w:t>
            </w:r>
          </w:p>
        </w:tc>
        <w:tc>
          <w:tcPr>
            <w:tcW w:w="3420" w:type="dxa"/>
            <w:vAlign w:val="center"/>
          </w:tcPr>
          <w:p w14:paraId="2383C842" w14:textId="231F49C1" w:rsidR="00767D97" w:rsidRPr="005B2CA5" w:rsidRDefault="00DF0920" w:rsidP="00612C4E">
            <w:pPr>
              <w:spacing w:before="60" w:after="60"/>
              <w:rPr>
                <w:rFonts w:cs="Arial"/>
                <w:sz w:val="18"/>
                <w:szCs w:val="18"/>
              </w:rPr>
            </w:pPr>
            <w:r>
              <w:rPr>
                <w:rFonts w:cs="Arial"/>
                <w:sz w:val="18"/>
                <w:szCs w:val="18"/>
              </w:rPr>
              <w:t>Minor revisions and formatting to living document.</w:t>
            </w:r>
          </w:p>
        </w:tc>
        <w:tc>
          <w:tcPr>
            <w:tcW w:w="2662" w:type="dxa"/>
            <w:vAlign w:val="center"/>
          </w:tcPr>
          <w:p w14:paraId="11A660A6" w14:textId="436F2D50" w:rsidR="00767D97" w:rsidRPr="005B2CA5" w:rsidRDefault="00DF0920" w:rsidP="00612C4E">
            <w:pPr>
              <w:spacing w:before="60" w:after="60"/>
              <w:rPr>
                <w:rFonts w:cs="Arial"/>
                <w:sz w:val="18"/>
                <w:szCs w:val="18"/>
              </w:rPr>
            </w:pPr>
            <w:r>
              <w:rPr>
                <w:rFonts w:cs="Arial"/>
                <w:sz w:val="18"/>
                <w:szCs w:val="18"/>
              </w:rPr>
              <w:t>Mason White</w:t>
            </w:r>
          </w:p>
        </w:tc>
      </w:tr>
      <w:tr w:rsidR="00767D97" w:rsidRPr="005B2CA5" w14:paraId="0474F50A" w14:textId="77777777" w:rsidTr="00747819">
        <w:trPr>
          <w:jc w:val="center"/>
        </w:trPr>
        <w:tc>
          <w:tcPr>
            <w:tcW w:w="1224" w:type="dxa"/>
            <w:vAlign w:val="center"/>
          </w:tcPr>
          <w:p w14:paraId="5F537CAA" w14:textId="77777777" w:rsidR="00767D97" w:rsidRPr="005B2CA5" w:rsidRDefault="00767D97" w:rsidP="00612C4E">
            <w:pPr>
              <w:spacing w:before="60" w:after="60"/>
              <w:rPr>
                <w:rFonts w:cs="Arial"/>
                <w:sz w:val="18"/>
                <w:szCs w:val="18"/>
              </w:rPr>
            </w:pPr>
          </w:p>
        </w:tc>
        <w:tc>
          <w:tcPr>
            <w:tcW w:w="1890" w:type="dxa"/>
            <w:vAlign w:val="center"/>
          </w:tcPr>
          <w:p w14:paraId="20E260DF" w14:textId="77777777" w:rsidR="00767D97" w:rsidRPr="005B2CA5" w:rsidRDefault="00767D97" w:rsidP="00612C4E">
            <w:pPr>
              <w:spacing w:before="60" w:after="60"/>
              <w:rPr>
                <w:rFonts w:cs="Arial"/>
                <w:sz w:val="18"/>
                <w:szCs w:val="18"/>
              </w:rPr>
            </w:pPr>
          </w:p>
        </w:tc>
        <w:tc>
          <w:tcPr>
            <w:tcW w:w="3420" w:type="dxa"/>
            <w:vAlign w:val="center"/>
          </w:tcPr>
          <w:p w14:paraId="27AB200F" w14:textId="77777777" w:rsidR="00767D97" w:rsidRPr="005B2CA5" w:rsidRDefault="00767D97" w:rsidP="00612C4E">
            <w:pPr>
              <w:spacing w:before="60" w:after="60"/>
              <w:rPr>
                <w:rFonts w:cs="Arial"/>
                <w:sz w:val="18"/>
                <w:szCs w:val="18"/>
              </w:rPr>
            </w:pPr>
          </w:p>
        </w:tc>
        <w:tc>
          <w:tcPr>
            <w:tcW w:w="2662" w:type="dxa"/>
            <w:vAlign w:val="center"/>
          </w:tcPr>
          <w:p w14:paraId="6AF99924" w14:textId="77777777" w:rsidR="00767D97" w:rsidRPr="005B2CA5" w:rsidRDefault="00767D97" w:rsidP="00612C4E">
            <w:pPr>
              <w:spacing w:before="60" w:after="60"/>
              <w:rPr>
                <w:rFonts w:cs="Arial"/>
                <w:sz w:val="18"/>
                <w:szCs w:val="18"/>
              </w:rPr>
            </w:pPr>
          </w:p>
        </w:tc>
      </w:tr>
    </w:tbl>
    <w:p w14:paraId="15E936F5" w14:textId="77777777" w:rsidR="00767D97" w:rsidRPr="00F3174C" w:rsidRDefault="00767D97" w:rsidP="005B2CA5">
      <w:pPr>
        <w:pStyle w:val="DocumentInformation"/>
      </w:pPr>
      <w:r w:rsidRPr="00F3174C">
        <w:t>Document Review/Approval History</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701"/>
        <w:gridCol w:w="2195"/>
        <w:gridCol w:w="2744"/>
        <w:gridCol w:w="2720"/>
      </w:tblGrid>
      <w:tr w:rsidR="00767D97" w:rsidRPr="005B2CA5" w14:paraId="2EBBBCE0" w14:textId="77777777" w:rsidTr="002D2121">
        <w:trPr>
          <w:trHeight w:val="266"/>
          <w:tblHeader/>
          <w:jc w:val="center"/>
        </w:trPr>
        <w:tc>
          <w:tcPr>
            <w:tcW w:w="1674"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2EEE22EE" w14:textId="77777777" w:rsidR="00767D97" w:rsidRPr="005B2CA5" w:rsidRDefault="00767D97" w:rsidP="00517CA3">
            <w:pPr>
              <w:pStyle w:val="Tablehead1"/>
              <w:rPr>
                <w:rFonts w:ascii="Arial" w:hAnsi="Arial" w:cs="Arial"/>
                <w:szCs w:val="18"/>
              </w:rPr>
            </w:pPr>
            <w:r w:rsidRPr="005B2CA5">
              <w:rPr>
                <w:rFonts w:ascii="Arial" w:hAnsi="Arial" w:cs="Arial"/>
                <w:szCs w:val="18"/>
              </w:rPr>
              <w:t>Date</w:t>
            </w:r>
          </w:p>
        </w:tc>
        <w:tc>
          <w:tcPr>
            <w:tcW w:w="2160"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00BEDAB5" w14:textId="77777777" w:rsidR="00767D97" w:rsidRPr="005B2CA5" w:rsidRDefault="00767D97" w:rsidP="00517CA3">
            <w:pPr>
              <w:pStyle w:val="Tablehead1"/>
              <w:rPr>
                <w:rFonts w:ascii="Arial" w:hAnsi="Arial" w:cs="Arial"/>
                <w:szCs w:val="18"/>
              </w:rPr>
            </w:pPr>
            <w:r w:rsidRPr="005B2CA5">
              <w:rPr>
                <w:rFonts w:ascii="Arial" w:hAnsi="Arial" w:cs="Arial"/>
                <w:szCs w:val="18"/>
              </w:rPr>
              <w:t>Name</w:t>
            </w:r>
          </w:p>
        </w:tc>
        <w:tc>
          <w:tcPr>
            <w:tcW w:w="2700"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34D907DA" w14:textId="77777777" w:rsidR="00767D97" w:rsidRPr="005B2CA5" w:rsidRDefault="00767D97" w:rsidP="00517CA3">
            <w:pPr>
              <w:pStyle w:val="Tablehead1"/>
              <w:rPr>
                <w:rFonts w:ascii="Arial" w:hAnsi="Arial" w:cs="Arial"/>
                <w:szCs w:val="18"/>
              </w:rPr>
            </w:pPr>
            <w:r w:rsidRPr="005B2CA5">
              <w:rPr>
                <w:rFonts w:ascii="Arial" w:hAnsi="Arial" w:cs="Arial"/>
                <w:szCs w:val="18"/>
              </w:rPr>
              <w:t>Organization</w:t>
            </w:r>
            <w:r w:rsidR="0053204A" w:rsidRPr="005B2CA5">
              <w:rPr>
                <w:rFonts w:ascii="Arial" w:hAnsi="Arial" w:cs="Arial"/>
                <w:szCs w:val="18"/>
              </w:rPr>
              <w:t>/Title</w:t>
            </w:r>
          </w:p>
        </w:tc>
        <w:tc>
          <w:tcPr>
            <w:tcW w:w="2676"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050F1596" w14:textId="77777777" w:rsidR="00767D97" w:rsidRPr="005B2CA5" w:rsidRDefault="0061526A" w:rsidP="00517CA3">
            <w:pPr>
              <w:pStyle w:val="Tablehead1"/>
              <w:rPr>
                <w:rFonts w:ascii="Arial" w:hAnsi="Arial" w:cs="Arial"/>
                <w:szCs w:val="18"/>
              </w:rPr>
            </w:pPr>
            <w:r w:rsidRPr="005B2CA5">
              <w:rPr>
                <w:rFonts w:ascii="Arial" w:hAnsi="Arial" w:cs="Arial"/>
                <w:szCs w:val="18"/>
              </w:rPr>
              <w:t>Comments</w:t>
            </w:r>
          </w:p>
        </w:tc>
      </w:tr>
      <w:tr w:rsidR="00767D97" w:rsidRPr="005B2CA5" w14:paraId="1C73C7A4" w14:textId="77777777" w:rsidTr="00747819">
        <w:trPr>
          <w:trHeight w:val="319"/>
          <w:jc w:val="center"/>
        </w:trPr>
        <w:tc>
          <w:tcPr>
            <w:tcW w:w="1674" w:type="dxa"/>
            <w:tcBorders>
              <w:top w:val="single" w:sz="4" w:space="0" w:color="FFFFFF"/>
            </w:tcBorders>
            <w:vAlign w:val="center"/>
          </w:tcPr>
          <w:p w14:paraId="7349A0FF" w14:textId="77777777" w:rsidR="00345552" w:rsidRPr="005B2CA5" w:rsidRDefault="00345552" w:rsidP="00517CA3">
            <w:pPr>
              <w:pStyle w:val="Tabletext"/>
            </w:pPr>
          </w:p>
        </w:tc>
        <w:tc>
          <w:tcPr>
            <w:tcW w:w="2160" w:type="dxa"/>
            <w:tcBorders>
              <w:top w:val="single" w:sz="4" w:space="0" w:color="FFFFFF"/>
            </w:tcBorders>
            <w:vAlign w:val="center"/>
          </w:tcPr>
          <w:p w14:paraId="6AB240FF" w14:textId="77777777" w:rsidR="00345552" w:rsidRPr="005B2CA5" w:rsidRDefault="00345552" w:rsidP="00517CA3">
            <w:pPr>
              <w:pStyle w:val="Tabletext"/>
            </w:pPr>
          </w:p>
        </w:tc>
        <w:tc>
          <w:tcPr>
            <w:tcW w:w="2700" w:type="dxa"/>
            <w:tcBorders>
              <w:top w:val="single" w:sz="4" w:space="0" w:color="FFFFFF"/>
            </w:tcBorders>
            <w:vAlign w:val="center"/>
          </w:tcPr>
          <w:p w14:paraId="53745D83" w14:textId="77777777" w:rsidR="00345552" w:rsidRPr="00517CA3" w:rsidRDefault="00345552" w:rsidP="00517CA3">
            <w:pPr>
              <w:pStyle w:val="Tabletext"/>
            </w:pPr>
          </w:p>
        </w:tc>
        <w:tc>
          <w:tcPr>
            <w:tcW w:w="2676" w:type="dxa"/>
            <w:tcBorders>
              <w:top w:val="single" w:sz="4" w:space="0" w:color="FFFFFF"/>
            </w:tcBorders>
            <w:vAlign w:val="center"/>
          </w:tcPr>
          <w:p w14:paraId="3234537E" w14:textId="77777777" w:rsidR="00345552" w:rsidRPr="005B2CA5" w:rsidRDefault="00345552" w:rsidP="00517CA3">
            <w:pPr>
              <w:pStyle w:val="Tabletext"/>
            </w:pPr>
          </w:p>
        </w:tc>
      </w:tr>
      <w:tr w:rsidR="00767D97" w:rsidRPr="005B2CA5" w14:paraId="62F7F61B" w14:textId="77777777" w:rsidTr="00747819">
        <w:trPr>
          <w:trHeight w:val="319"/>
          <w:jc w:val="center"/>
        </w:trPr>
        <w:tc>
          <w:tcPr>
            <w:tcW w:w="1674" w:type="dxa"/>
            <w:vAlign w:val="center"/>
          </w:tcPr>
          <w:p w14:paraId="20BEA144" w14:textId="77777777" w:rsidR="00767D97" w:rsidRPr="005B2CA5" w:rsidRDefault="00767D97" w:rsidP="00517CA3">
            <w:pPr>
              <w:spacing w:before="60" w:after="60"/>
              <w:rPr>
                <w:rFonts w:cs="Arial"/>
                <w:sz w:val="18"/>
                <w:szCs w:val="18"/>
              </w:rPr>
            </w:pPr>
          </w:p>
        </w:tc>
        <w:tc>
          <w:tcPr>
            <w:tcW w:w="2160" w:type="dxa"/>
            <w:vAlign w:val="center"/>
          </w:tcPr>
          <w:p w14:paraId="4C3D7A81" w14:textId="77777777" w:rsidR="00767D97" w:rsidRPr="005B2CA5" w:rsidRDefault="00767D97" w:rsidP="00517CA3">
            <w:pPr>
              <w:spacing w:before="60" w:after="60"/>
              <w:rPr>
                <w:rFonts w:cs="Arial"/>
                <w:sz w:val="18"/>
                <w:szCs w:val="18"/>
              </w:rPr>
            </w:pPr>
          </w:p>
        </w:tc>
        <w:tc>
          <w:tcPr>
            <w:tcW w:w="2700" w:type="dxa"/>
            <w:vAlign w:val="center"/>
          </w:tcPr>
          <w:p w14:paraId="6D9187AB" w14:textId="77777777" w:rsidR="00767D97" w:rsidRPr="005B2CA5" w:rsidRDefault="00767D97" w:rsidP="00517CA3">
            <w:pPr>
              <w:spacing w:before="60" w:after="60"/>
              <w:rPr>
                <w:rFonts w:cs="Arial"/>
                <w:sz w:val="18"/>
                <w:szCs w:val="18"/>
              </w:rPr>
            </w:pPr>
          </w:p>
        </w:tc>
        <w:tc>
          <w:tcPr>
            <w:tcW w:w="2676" w:type="dxa"/>
            <w:vAlign w:val="center"/>
          </w:tcPr>
          <w:p w14:paraId="030E9F0A" w14:textId="77777777" w:rsidR="00767D97" w:rsidRPr="005B2CA5" w:rsidRDefault="00767D97" w:rsidP="00517CA3">
            <w:pPr>
              <w:spacing w:before="60" w:after="60"/>
              <w:rPr>
                <w:rFonts w:cs="Arial"/>
                <w:sz w:val="18"/>
                <w:szCs w:val="18"/>
              </w:rPr>
            </w:pPr>
          </w:p>
        </w:tc>
      </w:tr>
      <w:tr w:rsidR="00767D97" w:rsidRPr="005B2CA5" w14:paraId="6D338B2C" w14:textId="77777777" w:rsidTr="00747819">
        <w:trPr>
          <w:trHeight w:val="319"/>
          <w:jc w:val="center"/>
        </w:trPr>
        <w:tc>
          <w:tcPr>
            <w:tcW w:w="1674" w:type="dxa"/>
            <w:vAlign w:val="center"/>
          </w:tcPr>
          <w:p w14:paraId="5DA961D8" w14:textId="77777777" w:rsidR="00767D97" w:rsidRPr="005B2CA5" w:rsidRDefault="00767D97" w:rsidP="00517CA3">
            <w:pPr>
              <w:spacing w:before="60" w:after="60"/>
              <w:rPr>
                <w:rFonts w:cs="Arial"/>
                <w:sz w:val="18"/>
                <w:szCs w:val="18"/>
              </w:rPr>
            </w:pPr>
          </w:p>
        </w:tc>
        <w:tc>
          <w:tcPr>
            <w:tcW w:w="2160" w:type="dxa"/>
            <w:vAlign w:val="center"/>
          </w:tcPr>
          <w:p w14:paraId="461B8BDC" w14:textId="77777777" w:rsidR="00767D97" w:rsidRPr="005B2CA5" w:rsidRDefault="00767D97" w:rsidP="00517CA3">
            <w:pPr>
              <w:spacing w:before="60" w:after="60"/>
              <w:rPr>
                <w:rFonts w:cs="Arial"/>
                <w:sz w:val="18"/>
                <w:szCs w:val="18"/>
              </w:rPr>
            </w:pPr>
          </w:p>
        </w:tc>
        <w:tc>
          <w:tcPr>
            <w:tcW w:w="2700" w:type="dxa"/>
            <w:vAlign w:val="center"/>
          </w:tcPr>
          <w:p w14:paraId="29D16272" w14:textId="77777777" w:rsidR="00767D97" w:rsidRPr="005B2CA5" w:rsidRDefault="00767D97" w:rsidP="00517CA3">
            <w:pPr>
              <w:spacing w:before="60" w:after="60"/>
              <w:rPr>
                <w:rFonts w:cs="Arial"/>
                <w:sz w:val="18"/>
                <w:szCs w:val="18"/>
              </w:rPr>
            </w:pPr>
          </w:p>
        </w:tc>
        <w:tc>
          <w:tcPr>
            <w:tcW w:w="2676" w:type="dxa"/>
            <w:vAlign w:val="center"/>
          </w:tcPr>
          <w:p w14:paraId="60BA7BFD" w14:textId="77777777" w:rsidR="00767D97" w:rsidRPr="005B2CA5" w:rsidRDefault="00767D97" w:rsidP="00517CA3">
            <w:pPr>
              <w:spacing w:before="60" w:after="60"/>
              <w:rPr>
                <w:rFonts w:cs="Arial"/>
                <w:sz w:val="18"/>
                <w:szCs w:val="18"/>
              </w:rPr>
            </w:pPr>
          </w:p>
        </w:tc>
      </w:tr>
    </w:tbl>
    <w:p w14:paraId="6D6F1742" w14:textId="77777777" w:rsidR="00767D97" w:rsidRPr="00F3174C" w:rsidRDefault="00767D97" w:rsidP="005B2CA5">
      <w:pPr>
        <w:pStyle w:val="DocumentInformation"/>
      </w:pPr>
      <w:r w:rsidRPr="00F3174C">
        <w:t>Distribution of Final Document</w:t>
      </w:r>
    </w:p>
    <w:p w14:paraId="59DC3DFB" w14:textId="77777777" w:rsidR="00767D97" w:rsidRPr="00352670" w:rsidRDefault="00767D97" w:rsidP="00B437DB">
      <w:pPr>
        <w:pStyle w:val="Bodycopy"/>
        <w:rPr>
          <w:sz w:val="22"/>
        </w:rPr>
      </w:pPr>
      <w:r w:rsidRPr="00352670">
        <w:rPr>
          <w:sz w:val="22"/>
        </w:rPr>
        <w:t>The following people are designated recipients of the final version of this document:</w:t>
      </w:r>
    </w:p>
    <w:tbl>
      <w:tblPr>
        <w:tblW w:w="9360" w:type="dxa"/>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83"/>
        <w:gridCol w:w="6677"/>
      </w:tblGrid>
      <w:tr w:rsidR="00767D97" w:rsidRPr="00DE52B6" w14:paraId="1D41CE4C" w14:textId="77777777" w:rsidTr="002D2121">
        <w:trPr>
          <w:trHeight w:val="367"/>
          <w:tblHeader/>
          <w:jc w:val="center"/>
        </w:trPr>
        <w:tc>
          <w:tcPr>
            <w:tcW w:w="2632"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71429B86" w14:textId="77777777" w:rsidR="00767D97" w:rsidRPr="00DE52B6" w:rsidRDefault="00767D97" w:rsidP="00612C4E">
            <w:pPr>
              <w:pStyle w:val="Tablehead1"/>
              <w:rPr>
                <w:rFonts w:ascii="Arial" w:hAnsi="Arial" w:cs="Arial"/>
                <w:szCs w:val="18"/>
              </w:rPr>
            </w:pPr>
            <w:r w:rsidRPr="00DE52B6">
              <w:rPr>
                <w:rFonts w:ascii="Arial" w:hAnsi="Arial" w:cs="Arial"/>
                <w:szCs w:val="18"/>
              </w:rPr>
              <w:t>Name</w:t>
            </w:r>
          </w:p>
        </w:tc>
        <w:tc>
          <w:tcPr>
            <w:tcW w:w="6550" w:type="dxa"/>
            <w:tcBorders>
              <w:top w:val="single" w:sz="4" w:space="0" w:color="FFFFFF"/>
              <w:left w:val="single" w:sz="4" w:space="0" w:color="FFFFFF"/>
              <w:bottom w:val="single" w:sz="4" w:space="0" w:color="FFFFFF"/>
              <w:right w:val="single" w:sz="4" w:space="0" w:color="FFFFFF"/>
            </w:tcBorders>
            <w:shd w:val="clear" w:color="auto" w:fill="092F57"/>
            <w:vAlign w:val="center"/>
          </w:tcPr>
          <w:p w14:paraId="23555F9D" w14:textId="77777777" w:rsidR="00767D97" w:rsidRPr="00DE52B6" w:rsidRDefault="00767D97" w:rsidP="00612C4E">
            <w:pPr>
              <w:pStyle w:val="Tablehead1"/>
              <w:rPr>
                <w:rFonts w:ascii="Arial" w:hAnsi="Arial" w:cs="Arial"/>
                <w:szCs w:val="18"/>
              </w:rPr>
            </w:pPr>
            <w:r w:rsidRPr="00DE52B6">
              <w:rPr>
                <w:rFonts w:ascii="Arial" w:hAnsi="Arial" w:cs="Arial"/>
                <w:szCs w:val="18"/>
              </w:rPr>
              <w:t>Organization/Title</w:t>
            </w:r>
          </w:p>
        </w:tc>
      </w:tr>
      <w:tr w:rsidR="0079399F" w:rsidRPr="00DE52B6" w14:paraId="7E437493" w14:textId="77777777" w:rsidTr="00747819">
        <w:trPr>
          <w:jc w:val="center"/>
        </w:trPr>
        <w:tc>
          <w:tcPr>
            <w:tcW w:w="2632" w:type="dxa"/>
            <w:tcBorders>
              <w:top w:val="single" w:sz="4" w:space="0" w:color="FFFFFF"/>
            </w:tcBorders>
            <w:vAlign w:val="center"/>
          </w:tcPr>
          <w:p w14:paraId="0093FF4C" w14:textId="77777777" w:rsidR="0079399F" w:rsidRPr="00DE52B6" w:rsidRDefault="0079399F" w:rsidP="00612C4E">
            <w:pPr>
              <w:pStyle w:val="Tabletext"/>
            </w:pPr>
          </w:p>
        </w:tc>
        <w:tc>
          <w:tcPr>
            <w:tcW w:w="6550" w:type="dxa"/>
            <w:tcBorders>
              <w:top w:val="single" w:sz="4" w:space="0" w:color="FFFFFF"/>
            </w:tcBorders>
            <w:vAlign w:val="center"/>
          </w:tcPr>
          <w:p w14:paraId="48B5B73D" w14:textId="77777777" w:rsidR="0079399F" w:rsidRPr="00DE52B6" w:rsidRDefault="0079399F" w:rsidP="00612C4E">
            <w:pPr>
              <w:pStyle w:val="Tabletext"/>
            </w:pPr>
          </w:p>
        </w:tc>
      </w:tr>
      <w:tr w:rsidR="0079399F" w:rsidRPr="00DE52B6" w14:paraId="648565FB" w14:textId="77777777" w:rsidTr="00747819">
        <w:trPr>
          <w:jc w:val="center"/>
        </w:trPr>
        <w:tc>
          <w:tcPr>
            <w:tcW w:w="2632" w:type="dxa"/>
            <w:shd w:val="clear" w:color="auto" w:fill="FFFFFF"/>
            <w:vAlign w:val="center"/>
          </w:tcPr>
          <w:p w14:paraId="7CDC39C3" w14:textId="77777777" w:rsidR="0079399F" w:rsidRPr="00DE52B6" w:rsidRDefault="0079399F" w:rsidP="00612C4E">
            <w:pPr>
              <w:spacing w:before="60" w:after="60"/>
              <w:rPr>
                <w:rFonts w:cs="Arial"/>
                <w:sz w:val="18"/>
                <w:szCs w:val="18"/>
              </w:rPr>
            </w:pPr>
          </w:p>
        </w:tc>
        <w:tc>
          <w:tcPr>
            <w:tcW w:w="6550" w:type="dxa"/>
            <w:shd w:val="clear" w:color="auto" w:fill="FFFFFF"/>
            <w:vAlign w:val="center"/>
          </w:tcPr>
          <w:p w14:paraId="27A0F28A" w14:textId="77777777" w:rsidR="0079399F" w:rsidRPr="00DE52B6" w:rsidRDefault="0079399F" w:rsidP="00612C4E">
            <w:pPr>
              <w:spacing w:before="60" w:after="60"/>
              <w:rPr>
                <w:rFonts w:cs="Arial"/>
                <w:sz w:val="18"/>
                <w:szCs w:val="18"/>
              </w:rPr>
            </w:pPr>
          </w:p>
        </w:tc>
      </w:tr>
      <w:tr w:rsidR="0079399F" w:rsidRPr="00DE52B6" w14:paraId="1A5BDD19" w14:textId="77777777" w:rsidTr="00747819">
        <w:trPr>
          <w:jc w:val="center"/>
        </w:trPr>
        <w:tc>
          <w:tcPr>
            <w:tcW w:w="2632" w:type="dxa"/>
            <w:shd w:val="clear" w:color="auto" w:fill="FFFFFF"/>
            <w:vAlign w:val="center"/>
          </w:tcPr>
          <w:p w14:paraId="6CA643D2" w14:textId="77777777" w:rsidR="0079399F" w:rsidRPr="00DE52B6" w:rsidRDefault="0079399F" w:rsidP="00612C4E">
            <w:pPr>
              <w:spacing w:before="60" w:after="60"/>
              <w:rPr>
                <w:rFonts w:cs="Arial"/>
                <w:sz w:val="18"/>
                <w:szCs w:val="18"/>
              </w:rPr>
            </w:pPr>
          </w:p>
        </w:tc>
        <w:tc>
          <w:tcPr>
            <w:tcW w:w="6550" w:type="dxa"/>
            <w:shd w:val="clear" w:color="auto" w:fill="FFFFFF"/>
            <w:vAlign w:val="center"/>
          </w:tcPr>
          <w:p w14:paraId="4184AFDF" w14:textId="77777777" w:rsidR="0079399F" w:rsidRPr="00DE52B6" w:rsidRDefault="0079399F" w:rsidP="00612C4E">
            <w:pPr>
              <w:spacing w:before="60" w:after="60"/>
              <w:rPr>
                <w:rFonts w:cs="Arial"/>
                <w:sz w:val="18"/>
                <w:szCs w:val="18"/>
              </w:rPr>
            </w:pPr>
          </w:p>
        </w:tc>
      </w:tr>
    </w:tbl>
    <w:p w14:paraId="513DCED0" w14:textId="77777777" w:rsidR="00345552" w:rsidRDefault="00345552" w:rsidP="00517CA3">
      <w:pPr>
        <w:pStyle w:val="Tabletext"/>
      </w:pPr>
    </w:p>
    <w:p w14:paraId="4B33ED62" w14:textId="77777777" w:rsidR="000762ED" w:rsidRPr="00F3174C" w:rsidRDefault="000762ED" w:rsidP="00517CA3">
      <w:pPr>
        <w:pStyle w:val="Tabletext"/>
        <w:sectPr w:rsidR="000762ED" w:rsidRPr="00F3174C" w:rsidSect="002D2121">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pgBorders w:offsetFrom="page">
            <w:top w:val="single" w:sz="4" w:space="24" w:color="FFFFFF"/>
          </w:pgBorders>
          <w:cols w:space="720"/>
          <w:titlePg/>
          <w:docGrid w:linePitch="272"/>
        </w:sectPr>
      </w:pPr>
    </w:p>
    <w:p w14:paraId="2226B10E" w14:textId="77777777" w:rsidR="00767D97" w:rsidRPr="00DE52B6" w:rsidRDefault="00767D97" w:rsidP="00DE52B6">
      <w:pPr>
        <w:pStyle w:val="TOC"/>
      </w:pPr>
      <w:bookmarkStart w:id="5" w:name="_Toc226456967"/>
      <w:bookmarkStart w:id="6" w:name="_Ref226997660"/>
      <w:r w:rsidRPr="00DE52B6">
        <w:lastRenderedPageBreak/>
        <w:t>Table of Contents</w:t>
      </w:r>
      <w:bookmarkStart w:id="7" w:name="_GoBack"/>
      <w:bookmarkEnd w:id="2"/>
      <w:bookmarkEnd w:id="3"/>
      <w:bookmarkEnd w:id="4"/>
      <w:bookmarkEnd w:id="5"/>
      <w:bookmarkEnd w:id="6"/>
      <w:bookmarkEnd w:id="7"/>
    </w:p>
    <w:bookmarkStart w:id="8" w:name="_Toc523032772"/>
    <w:bookmarkStart w:id="9" w:name="_Toc523126455"/>
    <w:p w14:paraId="19D4E8D8" w14:textId="00C300A4" w:rsidR="00020897" w:rsidRPr="00126B82" w:rsidRDefault="00D242CE">
      <w:pPr>
        <w:pStyle w:val="TOC1"/>
        <w:rPr>
          <w:rFonts w:ascii="Arial" w:eastAsiaTheme="minorEastAsia" w:hAnsi="Arial"/>
          <w:b w:val="0"/>
          <w:sz w:val="20"/>
        </w:rPr>
      </w:pPr>
      <w:r w:rsidRPr="001E1761">
        <w:rPr>
          <w:rFonts w:ascii="Arial" w:hAnsi="Arial"/>
          <w:sz w:val="20"/>
        </w:rPr>
        <w:fldChar w:fldCharType="begin"/>
      </w:r>
      <w:r w:rsidR="00026874" w:rsidRPr="00020897">
        <w:rPr>
          <w:rFonts w:ascii="Arial" w:hAnsi="Arial"/>
          <w:sz w:val="20"/>
        </w:rPr>
        <w:instrText xml:space="preserve"> TOC \o "1-2" \h \z \u </w:instrText>
      </w:r>
      <w:r w:rsidRPr="001E1761">
        <w:rPr>
          <w:rFonts w:ascii="Arial" w:hAnsi="Arial"/>
          <w:sz w:val="20"/>
        </w:rPr>
        <w:fldChar w:fldCharType="separate"/>
      </w:r>
      <w:hyperlink w:anchor="_Toc68532143" w:history="1">
        <w:r w:rsidR="00020897" w:rsidRPr="00020897">
          <w:rPr>
            <w:rStyle w:val="Hyperlink"/>
          </w:rPr>
          <w:t>1</w:t>
        </w:r>
        <w:r w:rsidR="00020897" w:rsidRPr="00126B82">
          <w:rPr>
            <w:rFonts w:ascii="Arial" w:eastAsiaTheme="minorEastAsia" w:hAnsi="Arial"/>
            <w:b w:val="0"/>
            <w:sz w:val="20"/>
          </w:rPr>
          <w:tab/>
        </w:r>
        <w:r w:rsidR="00020897" w:rsidRPr="00020897">
          <w:rPr>
            <w:rStyle w:val="Hyperlink"/>
          </w:rPr>
          <w:t>Introduction</w:t>
        </w:r>
        <w:r w:rsidR="00020897" w:rsidRPr="00126B82">
          <w:rPr>
            <w:rFonts w:ascii="Arial" w:hAnsi="Arial"/>
            <w:webHidden/>
            <w:sz w:val="20"/>
          </w:rPr>
          <w:tab/>
        </w:r>
        <w:r w:rsidR="00020897" w:rsidRPr="00126B82">
          <w:rPr>
            <w:rFonts w:ascii="Arial" w:hAnsi="Arial"/>
            <w:webHidden/>
            <w:sz w:val="20"/>
          </w:rPr>
          <w:fldChar w:fldCharType="begin"/>
        </w:r>
        <w:r w:rsidR="00020897" w:rsidRPr="00126B82">
          <w:rPr>
            <w:rFonts w:ascii="Arial" w:hAnsi="Arial"/>
            <w:webHidden/>
            <w:sz w:val="20"/>
          </w:rPr>
          <w:instrText xml:space="preserve"> PAGEREF _Toc68532143 \h </w:instrText>
        </w:r>
        <w:r w:rsidR="00020897" w:rsidRPr="00126B82">
          <w:rPr>
            <w:rFonts w:ascii="Arial" w:hAnsi="Arial"/>
            <w:webHidden/>
            <w:sz w:val="20"/>
          </w:rPr>
        </w:r>
        <w:r w:rsidR="00020897" w:rsidRPr="00126B82">
          <w:rPr>
            <w:rFonts w:ascii="Arial" w:hAnsi="Arial"/>
            <w:webHidden/>
            <w:sz w:val="20"/>
          </w:rPr>
          <w:fldChar w:fldCharType="separate"/>
        </w:r>
        <w:r w:rsidR="00020897" w:rsidRPr="00126B82">
          <w:rPr>
            <w:rFonts w:ascii="Arial" w:hAnsi="Arial"/>
            <w:webHidden/>
            <w:sz w:val="20"/>
          </w:rPr>
          <w:t>4</w:t>
        </w:r>
        <w:r w:rsidR="00020897" w:rsidRPr="00126B82">
          <w:rPr>
            <w:rFonts w:ascii="Arial" w:hAnsi="Arial"/>
            <w:webHidden/>
            <w:sz w:val="20"/>
          </w:rPr>
          <w:fldChar w:fldCharType="end"/>
        </w:r>
      </w:hyperlink>
    </w:p>
    <w:p w14:paraId="17F56975" w14:textId="0A19D1CD" w:rsidR="00020897" w:rsidRPr="00126B82" w:rsidRDefault="00DF6F07">
      <w:pPr>
        <w:pStyle w:val="TOC2"/>
        <w:rPr>
          <w:rFonts w:eastAsiaTheme="minorEastAsia" w:cs="Arial"/>
        </w:rPr>
      </w:pPr>
      <w:hyperlink w:anchor="_Toc68532144" w:history="1">
        <w:r w:rsidR="00020897" w:rsidRPr="001E1761">
          <w:rPr>
            <w:rStyle w:val="Hyperlink"/>
            <w:rFonts w:cs="Arial"/>
          </w:rPr>
          <w:t>1.1</w:t>
        </w:r>
        <w:r w:rsidR="00020897" w:rsidRPr="00126B82">
          <w:rPr>
            <w:rFonts w:eastAsiaTheme="minorEastAsia" w:cs="Arial"/>
          </w:rPr>
          <w:tab/>
        </w:r>
        <w:r w:rsidR="00020897" w:rsidRPr="001E1761">
          <w:rPr>
            <w:rStyle w:val="Hyperlink"/>
            <w:rFonts w:cs="Arial"/>
          </w:rPr>
          <w:t>Deliverable Description</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_Toc68532144 \h </w:instrText>
        </w:r>
        <w:r w:rsidR="00020897" w:rsidRPr="001E1761">
          <w:rPr>
            <w:rFonts w:cs="Arial"/>
            <w:webHidden/>
          </w:rPr>
        </w:r>
        <w:r w:rsidR="00020897" w:rsidRPr="001E1761">
          <w:rPr>
            <w:rFonts w:cs="Arial"/>
            <w:webHidden/>
          </w:rPr>
          <w:fldChar w:fldCharType="separate"/>
        </w:r>
        <w:r w:rsidR="00020897" w:rsidRPr="001E1761">
          <w:rPr>
            <w:rFonts w:cs="Arial"/>
            <w:webHidden/>
          </w:rPr>
          <w:t>4</w:t>
        </w:r>
        <w:r w:rsidR="00020897" w:rsidRPr="001E1761">
          <w:rPr>
            <w:rFonts w:cs="Arial"/>
            <w:webHidden/>
          </w:rPr>
          <w:fldChar w:fldCharType="end"/>
        </w:r>
      </w:hyperlink>
    </w:p>
    <w:p w14:paraId="3CDB6FD1" w14:textId="69098576" w:rsidR="00020897" w:rsidRPr="00126B82" w:rsidRDefault="00DF6F07">
      <w:pPr>
        <w:pStyle w:val="TOC2"/>
        <w:rPr>
          <w:rFonts w:eastAsiaTheme="minorEastAsia" w:cs="Arial"/>
        </w:rPr>
      </w:pPr>
      <w:hyperlink w:anchor="_Toc68532145" w:history="1">
        <w:r w:rsidR="00020897" w:rsidRPr="001E1761">
          <w:rPr>
            <w:rStyle w:val="Hyperlink"/>
            <w:rFonts w:cs="Arial"/>
          </w:rPr>
          <w:t>1.2</w:t>
        </w:r>
        <w:r w:rsidR="00020897" w:rsidRPr="00126B82">
          <w:rPr>
            <w:rFonts w:eastAsiaTheme="minorEastAsia" w:cs="Arial"/>
          </w:rPr>
          <w:tab/>
        </w:r>
        <w:r w:rsidR="00020897" w:rsidRPr="001E1761">
          <w:rPr>
            <w:rStyle w:val="Hyperlink"/>
            <w:rFonts w:cs="Arial"/>
          </w:rPr>
          <w:t>Purpose</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_Toc68532145 \h </w:instrText>
        </w:r>
        <w:r w:rsidR="00020897" w:rsidRPr="001E1761">
          <w:rPr>
            <w:rFonts w:cs="Arial"/>
            <w:webHidden/>
          </w:rPr>
        </w:r>
        <w:r w:rsidR="00020897" w:rsidRPr="001E1761">
          <w:rPr>
            <w:rFonts w:cs="Arial"/>
            <w:webHidden/>
          </w:rPr>
          <w:fldChar w:fldCharType="separate"/>
        </w:r>
        <w:r w:rsidR="00020897" w:rsidRPr="001E1761">
          <w:rPr>
            <w:rFonts w:cs="Arial"/>
            <w:webHidden/>
          </w:rPr>
          <w:t>4</w:t>
        </w:r>
        <w:r w:rsidR="00020897" w:rsidRPr="001E1761">
          <w:rPr>
            <w:rFonts w:cs="Arial"/>
            <w:webHidden/>
          </w:rPr>
          <w:fldChar w:fldCharType="end"/>
        </w:r>
      </w:hyperlink>
    </w:p>
    <w:p w14:paraId="495D7540" w14:textId="7A4104D5" w:rsidR="00020897" w:rsidRPr="00126B82" w:rsidRDefault="00DF6F07">
      <w:pPr>
        <w:pStyle w:val="TOC2"/>
        <w:rPr>
          <w:rFonts w:eastAsiaTheme="minorEastAsia" w:cs="Arial"/>
        </w:rPr>
      </w:pPr>
      <w:hyperlink w:anchor="_Toc68532146" w:history="1">
        <w:r w:rsidR="00020897" w:rsidRPr="001E1761">
          <w:rPr>
            <w:rStyle w:val="Hyperlink"/>
            <w:rFonts w:cs="Arial"/>
          </w:rPr>
          <w:t>1.3</w:t>
        </w:r>
        <w:r w:rsidR="00020897" w:rsidRPr="00126B82">
          <w:rPr>
            <w:rFonts w:eastAsiaTheme="minorEastAsia" w:cs="Arial"/>
          </w:rPr>
          <w:tab/>
        </w:r>
        <w:r w:rsidR="00020897" w:rsidRPr="001E1761">
          <w:rPr>
            <w:rStyle w:val="Hyperlink"/>
            <w:rFonts w:cs="Arial"/>
          </w:rPr>
          <w:t>Methodology Approach</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_Toc68532146 \h </w:instrText>
        </w:r>
        <w:r w:rsidR="00020897" w:rsidRPr="001E1761">
          <w:rPr>
            <w:rFonts w:cs="Arial"/>
            <w:webHidden/>
          </w:rPr>
        </w:r>
        <w:r w:rsidR="00020897" w:rsidRPr="001E1761">
          <w:rPr>
            <w:rFonts w:cs="Arial"/>
            <w:webHidden/>
          </w:rPr>
          <w:fldChar w:fldCharType="separate"/>
        </w:r>
        <w:r w:rsidR="00020897" w:rsidRPr="001E1761">
          <w:rPr>
            <w:rFonts w:cs="Arial"/>
            <w:webHidden/>
          </w:rPr>
          <w:t>4</w:t>
        </w:r>
        <w:r w:rsidR="00020897" w:rsidRPr="001E1761">
          <w:rPr>
            <w:rFonts w:cs="Arial"/>
            <w:webHidden/>
          </w:rPr>
          <w:fldChar w:fldCharType="end"/>
        </w:r>
      </w:hyperlink>
    </w:p>
    <w:p w14:paraId="2167E74D" w14:textId="222C47B3" w:rsidR="00020897" w:rsidRPr="00126B82" w:rsidRDefault="00DF6F07">
      <w:pPr>
        <w:pStyle w:val="TOC2"/>
        <w:rPr>
          <w:rFonts w:eastAsiaTheme="minorEastAsia" w:cs="Arial"/>
        </w:rPr>
      </w:pPr>
      <w:hyperlink w:anchor="_Toc68532147" w:history="1">
        <w:r w:rsidR="00020897" w:rsidRPr="001E1761">
          <w:rPr>
            <w:rStyle w:val="Hyperlink"/>
            <w:rFonts w:cs="Arial"/>
          </w:rPr>
          <w:t>1.4</w:t>
        </w:r>
        <w:r w:rsidR="00020897" w:rsidRPr="00126B82">
          <w:rPr>
            <w:rFonts w:eastAsiaTheme="minorEastAsia" w:cs="Arial"/>
          </w:rPr>
          <w:tab/>
        </w:r>
        <w:r w:rsidR="00020897" w:rsidRPr="001E1761">
          <w:rPr>
            <w:rStyle w:val="Hyperlink"/>
            <w:rFonts w:cs="Arial"/>
          </w:rPr>
          <w:t>Intended Use of Deliverable</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_Toc68532147 \h </w:instrText>
        </w:r>
        <w:r w:rsidR="00020897" w:rsidRPr="001E1761">
          <w:rPr>
            <w:rFonts w:cs="Arial"/>
            <w:webHidden/>
          </w:rPr>
        </w:r>
        <w:r w:rsidR="00020897" w:rsidRPr="001E1761">
          <w:rPr>
            <w:rFonts w:cs="Arial"/>
            <w:webHidden/>
          </w:rPr>
          <w:fldChar w:fldCharType="separate"/>
        </w:r>
        <w:r w:rsidR="00020897" w:rsidRPr="001E1761">
          <w:rPr>
            <w:rFonts w:cs="Arial"/>
            <w:webHidden/>
          </w:rPr>
          <w:t>4</w:t>
        </w:r>
        <w:r w:rsidR="00020897" w:rsidRPr="001E1761">
          <w:rPr>
            <w:rFonts w:cs="Arial"/>
            <w:webHidden/>
          </w:rPr>
          <w:fldChar w:fldCharType="end"/>
        </w:r>
      </w:hyperlink>
    </w:p>
    <w:p w14:paraId="2A2140A7" w14:textId="2727BCC4" w:rsidR="00020897" w:rsidRPr="00126B82" w:rsidRDefault="00DF6F07">
      <w:pPr>
        <w:pStyle w:val="TOC1"/>
        <w:rPr>
          <w:rFonts w:ascii="Arial" w:eastAsiaTheme="minorEastAsia" w:hAnsi="Arial"/>
          <w:b w:val="0"/>
          <w:sz w:val="20"/>
        </w:rPr>
      </w:pPr>
      <w:hyperlink w:anchor="_Toc68532148" w:history="1">
        <w:r w:rsidR="00020897" w:rsidRPr="00020897">
          <w:rPr>
            <w:rStyle w:val="Hyperlink"/>
          </w:rPr>
          <w:t>2</w:t>
        </w:r>
        <w:r w:rsidR="00020897" w:rsidRPr="00126B82">
          <w:rPr>
            <w:rFonts w:ascii="Arial" w:eastAsiaTheme="minorEastAsia" w:hAnsi="Arial"/>
            <w:b w:val="0"/>
            <w:sz w:val="20"/>
          </w:rPr>
          <w:tab/>
        </w:r>
        <w:r w:rsidR="00020897" w:rsidRPr="00020897">
          <w:rPr>
            <w:rStyle w:val="Hyperlink"/>
          </w:rPr>
          <w:t>Overview of the Chart of Accounts Development Process</w:t>
        </w:r>
        <w:r w:rsidR="00020897" w:rsidRPr="00126B82">
          <w:rPr>
            <w:rFonts w:ascii="Arial" w:hAnsi="Arial"/>
            <w:webHidden/>
            <w:sz w:val="20"/>
          </w:rPr>
          <w:tab/>
        </w:r>
        <w:r w:rsidR="00020897" w:rsidRPr="00126B82">
          <w:rPr>
            <w:rFonts w:ascii="Arial" w:hAnsi="Arial"/>
            <w:webHidden/>
            <w:sz w:val="20"/>
          </w:rPr>
          <w:fldChar w:fldCharType="begin"/>
        </w:r>
        <w:r w:rsidR="00020897" w:rsidRPr="00126B82">
          <w:rPr>
            <w:rFonts w:ascii="Arial" w:hAnsi="Arial"/>
            <w:webHidden/>
            <w:sz w:val="20"/>
          </w:rPr>
          <w:instrText xml:space="preserve"> PAGEREF _Toc68532148 \h </w:instrText>
        </w:r>
        <w:r w:rsidR="00020897" w:rsidRPr="00126B82">
          <w:rPr>
            <w:rFonts w:ascii="Arial" w:hAnsi="Arial"/>
            <w:webHidden/>
            <w:sz w:val="20"/>
          </w:rPr>
        </w:r>
        <w:r w:rsidR="00020897" w:rsidRPr="00126B82">
          <w:rPr>
            <w:rFonts w:ascii="Arial" w:hAnsi="Arial"/>
            <w:webHidden/>
            <w:sz w:val="20"/>
          </w:rPr>
          <w:fldChar w:fldCharType="separate"/>
        </w:r>
        <w:r w:rsidR="00020897" w:rsidRPr="00126B82">
          <w:rPr>
            <w:rFonts w:ascii="Arial" w:hAnsi="Arial"/>
            <w:webHidden/>
            <w:sz w:val="20"/>
          </w:rPr>
          <w:t>6</w:t>
        </w:r>
        <w:r w:rsidR="00020897" w:rsidRPr="00126B82">
          <w:rPr>
            <w:rFonts w:ascii="Arial" w:hAnsi="Arial"/>
            <w:webHidden/>
            <w:sz w:val="20"/>
          </w:rPr>
          <w:fldChar w:fldCharType="end"/>
        </w:r>
      </w:hyperlink>
    </w:p>
    <w:p w14:paraId="58BA0BAD" w14:textId="2657B2EC" w:rsidR="00020897" w:rsidRPr="00126B82" w:rsidRDefault="00DF6F07">
      <w:pPr>
        <w:pStyle w:val="TOC2"/>
        <w:rPr>
          <w:rFonts w:eastAsiaTheme="minorEastAsia" w:cs="Arial"/>
        </w:rPr>
      </w:pPr>
      <w:hyperlink w:anchor="_Toc68532149" w:history="1">
        <w:r w:rsidR="00020897" w:rsidRPr="001E1761">
          <w:rPr>
            <w:rStyle w:val="Hyperlink"/>
            <w:rFonts w:cs="Arial"/>
          </w:rPr>
          <w:t>2.1</w:t>
        </w:r>
        <w:r w:rsidR="00020897" w:rsidRPr="00126B82">
          <w:rPr>
            <w:rFonts w:eastAsiaTheme="minorEastAsia" w:cs="Arial"/>
          </w:rPr>
          <w:tab/>
        </w:r>
        <w:r w:rsidR="00020897" w:rsidRPr="001E1761">
          <w:rPr>
            <w:rStyle w:val="Hyperlink"/>
            <w:rFonts w:cs="Arial"/>
          </w:rPr>
          <w:t>COA Workgroup Charter</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_Toc68532149 \h </w:instrText>
        </w:r>
        <w:r w:rsidR="00020897" w:rsidRPr="001E1761">
          <w:rPr>
            <w:rFonts w:cs="Arial"/>
            <w:webHidden/>
          </w:rPr>
        </w:r>
        <w:r w:rsidR="00020897" w:rsidRPr="001E1761">
          <w:rPr>
            <w:rFonts w:cs="Arial"/>
            <w:webHidden/>
          </w:rPr>
          <w:fldChar w:fldCharType="separate"/>
        </w:r>
        <w:r w:rsidR="00020897" w:rsidRPr="001E1761">
          <w:rPr>
            <w:rFonts w:cs="Arial"/>
            <w:webHidden/>
          </w:rPr>
          <w:t>6</w:t>
        </w:r>
        <w:r w:rsidR="00020897" w:rsidRPr="001E1761">
          <w:rPr>
            <w:rFonts w:cs="Arial"/>
            <w:webHidden/>
          </w:rPr>
          <w:fldChar w:fldCharType="end"/>
        </w:r>
      </w:hyperlink>
    </w:p>
    <w:p w14:paraId="745ED0D9" w14:textId="7EBBE007" w:rsidR="00020897" w:rsidRPr="00126B82" w:rsidRDefault="00DF6F07">
      <w:pPr>
        <w:pStyle w:val="TOC2"/>
        <w:rPr>
          <w:rFonts w:eastAsiaTheme="minorEastAsia" w:cs="Arial"/>
        </w:rPr>
      </w:pPr>
      <w:hyperlink w:anchor="_Toc68532150" w:history="1">
        <w:r w:rsidR="00020897" w:rsidRPr="001E1761">
          <w:rPr>
            <w:rStyle w:val="Hyperlink"/>
            <w:rFonts w:cs="Arial"/>
          </w:rPr>
          <w:t>2.2</w:t>
        </w:r>
        <w:r w:rsidR="00020897" w:rsidRPr="00126B82">
          <w:rPr>
            <w:rFonts w:eastAsiaTheme="minorEastAsia" w:cs="Arial"/>
          </w:rPr>
          <w:tab/>
        </w:r>
        <w:r w:rsidR="00020897" w:rsidRPr="001E1761">
          <w:rPr>
            <w:rStyle w:val="Hyperlink"/>
            <w:rFonts w:cs="Arial"/>
          </w:rPr>
          <w:t>COA Redesign Timeline</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_Toc68532150 \h </w:instrText>
        </w:r>
        <w:r w:rsidR="00020897" w:rsidRPr="001E1761">
          <w:rPr>
            <w:rFonts w:cs="Arial"/>
            <w:webHidden/>
          </w:rPr>
        </w:r>
        <w:r w:rsidR="00020897" w:rsidRPr="001E1761">
          <w:rPr>
            <w:rFonts w:cs="Arial"/>
            <w:webHidden/>
          </w:rPr>
          <w:fldChar w:fldCharType="separate"/>
        </w:r>
        <w:r w:rsidR="00020897" w:rsidRPr="001E1761">
          <w:rPr>
            <w:rFonts w:cs="Arial"/>
            <w:webHidden/>
          </w:rPr>
          <w:t>6</w:t>
        </w:r>
        <w:r w:rsidR="00020897" w:rsidRPr="001E1761">
          <w:rPr>
            <w:rFonts w:cs="Arial"/>
            <w:webHidden/>
          </w:rPr>
          <w:fldChar w:fldCharType="end"/>
        </w:r>
      </w:hyperlink>
    </w:p>
    <w:p w14:paraId="747F0F56" w14:textId="28F27033" w:rsidR="00020897" w:rsidRPr="00126B82" w:rsidRDefault="00DF6F07">
      <w:pPr>
        <w:pStyle w:val="TOC2"/>
        <w:rPr>
          <w:rFonts w:eastAsiaTheme="minorEastAsia" w:cs="Arial"/>
        </w:rPr>
      </w:pPr>
      <w:hyperlink w:anchor="_Toc68532151" w:history="1">
        <w:r w:rsidR="00020897" w:rsidRPr="001E1761">
          <w:rPr>
            <w:rStyle w:val="Hyperlink"/>
            <w:rFonts w:cs="Arial"/>
          </w:rPr>
          <w:t>2.3</w:t>
        </w:r>
        <w:r w:rsidR="00020897" w:rsidRPr="00126B82">
          <w:rPr>
            <w:rFonts w:eastAsiaTheme="minorEastAsia" w:cs="Arial"/>
          </w:rPr>
          <w:tab/>
        </w:r>
        <w:r w:rsidR="00020897" w:rsidRPr="001E1761">
          <w:rPr>
            <w:rStyle w:val="Hyperlink"/>
            <w:rFonts w:cs="Arial"/>
          </w:rPr>
          <w:t>COA Redesign Methodology</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_Toc68532151 \h </w:instrText>
        </w:r>
        <w:r w:rsidR="00020897" w:rsidRPr="001E1761">
          <w:rPr>
            <w:rFonts w:cs="Arial"/>
            <w:webHidden/>
          </w:rPr>
        </w:r>
        <w:r w:rsidR="00020897" w:rsidRPr="001E1761">
          <w:rPr>
            <w:rFonts w:cs="Arial"/>
            <w:webHidden/>
          </w:rPr>
          <w:fldChar w:fldCharType="separate"/>
        </w:r>
        <w:r w:rsidR="00020897" w:rsidRPr="001E1761">
          <w:rPr>
            <w:rFonts w:cs="Arial"/>
            <w:webHidden/>
          </w:rPr>
          <w:t>8</w:t>
        </w:r>
        <w:r w:rsidR="00020897" w:rsidRPr="001E1761">
          <w:rPr>
            <w:rFonts w:cs="Arial"/>
            <w:webHidden/>
          </w:rPr>
          <w:fldChar w:fldCharType="end"/>
        </w:r>
      </w:hyperlink>
    </w:p>
    <w:p w14:paraId="497C55D8" w14:textId="6747C5C3" w:rsidR="00020897" w:rsidRPr="00126B82" w:rsidRDefault="00DF6F07">
      <w:pPr>
        <w:pStyle w:val="TOC2"/>
        <w:rPr>
          <w:rFonts w:eastAsiaTheme="minorEastAsia" w:cs="Arial"/>
        </w:rPr>
      </w:pPr>
      <w:hyperlink w:anchor="_Toc68532152" w:history="1">
        <w:r w:rsidR="00020897" w:rsidRPr="001E1761">
          <w:rPr>
            <w:rStyle w:val="Hyperlink"/>
            <w:rFonts w:cs="Arial"/>
          </w:rPr>
          <w:t>2.4</w:t>
        </w:r>
        <w:r w:rsidR="00020897" w:rsidRPr="00126B82">
          <w:rPr>
            <w:rFonts w:eastAsiaTheme="minorEastAsia" w:cs="Arial"/>
          </w:rPr>
          <w:tab/>
        </w:r>
        <w:r w:rsidR="00020897" w:rsidRPr="001E1761">
          <w:rPr>
            <w:rStyle w:val="Hyperlink"/>
            <w:rFonts w:cs="Arial"/>
          </w:rPr>
          <w:t>COA Redesign Review and Approval</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_Toc68532152 \h </w:instrText>
        </w:r>
        <w:r w:rsidR="00020897" w:rsidRPr="001E1761">
          <w:rPr>
            <w:rFonts w:cs="Arial"/>
            <w:webHidden/>
          </w:rPr>
        </w:r>
        <w:r w:rsidR="00020897" w:rsidRPr="001E1761">
          <w:rPr>
            <w:rFonts w:cs="Arial"/>
            <w:webHidden/>
          </w:rPr>
          <w:fldChar w:fldCharType="separate"/>
        </w:r>
        <w:r w:rsidR="00020897" w:rsidRPr="001E1761">
          <w:rPr>
            <w:rFonts w:cs="Arial"/>
            <w:webHidden/>
          </w:rPr>
          <w:t>10</w:t>
        </w:r>
        <w:r w:rsidR="00020897" w:rsidRPr="001E1761">
          <w:rPr>
            <w:rFonts w:cs="Arial"/>
            <w:webHidden/>
          </w:rPr>
          <w:fldChar w:fldCharType="end"/>
        </w:r>
      </w:hyperlink>
    </w:p>
    <w:p w14:paraId="41F62632" w14:textId="16A590C9" w:rsidR="00020897" w:rsidRPr="00126B82" w:rsidRDefault="00DF6F07">
      <w:pPr>
        <w:pStyle w:val="TOC1"/>
        <w:rPr>
          <w:rFonts w:ascii="Arial" w:eastAsiaTheme="minorEastAsia" w:hAnsi="Arial"/>
          <w:b w:val="0"/>
          <w:sz w:val="20"/>
        </w:rPr>
      </w:pPr>
      <w:hyperlink w:anchor="_Toc68532153" w:history="1">
        <w:r w:rsidR="00020897" w:rsidRPr="00020897">
          <w:rPr>
            <w:rStyle w:val="Hyperlink"/>
          </w:rPr>
          <w:t>3</w:t>
        </w:r>
        <w:r w:rsidR="00020897" w:rsidRPr="00126B82">
          <w:rPr>
            <w:rFonts w:ascii="Arial" w:eastAsiaTheme="minorEastAsia" w:hAnsi="Arial"/>
            <w:b w:val="0"/>
            <w:sz w:val="20"/>
          </w:rPr>
          <w:tab/>
        </w:r>
        <w:r w:rsidR="00020897" w:rsidRPr="00020897">
          <w:rPr>
            <w:rStyle w:val="Hyperlink"/>
          </w:rPr>
          <w:t>Chart of Accounts Design</w:t>
        </w:r>
        <w:r w:rsidR="00020897" w:rsidRPr="00126B82">
          <w:rPr>
            <w:rFonts w:ascii="Arial" w:hAnsi="Arial"/>
            <w:webHidden/>
            <w:sz w:val="20"/>
          </w:rPr>
          <w:tab/>
        </w:r>
        <w:r w:rsidR="00020897" w:rsidRPr="00126B82">
          <w:rPr>
            <w:rFonts w:ascii="Arial" w:hAnsi="Arial"/>
            <w:webHidden/>
            <w:sz w:val="20"/>
          </w:rPr>
          <w:fldChar w:fldCharType="begin"/>
        </w:r>
        <w:r w:rsidR="00020897" w:rsidRPr="00126B82">
          <w:rPr>
            <w:rFonts w:ascii="Arial" w:hAnsi="Arial"/>
            <w:webHidden/>
            <w:sz w:val="20"/>
          </w:rPr>
          <w:instrText xml:space="preserve"> PAGEREF _Toc68532153 \h </w:instrText>
        </w:r>
        <w:r w:rsidR="00020897" w:rsidRPr="00126B82">
          <w:rPr>
            <w:rFonts w:ascii="Arial" w:hAnsi="Arial"/>
            <w:webHidden/>
            <w:sz w:val="20"/>
          </w:rPr>
        </w:r>
        <w:r w:rsidR="00020897" w:rsidRPr="00126B82">
          <w:rPr>
            <w:rFonts w:ascii="Arial" w:hAnsi="Arial"/>
            <w:webHidden/>
            <w:sz w:val="20"/>
          </w:rPr>
          <w:fldChar w:fldCharType="separate"/>
        </w:r>
        <w:r w:rsidR="00020897" w:rsidRPr="00126B82">
          <w:rPr>
            <w:rFonts w:ascii="Arial" w:hAnsi="Arial"/>
            <w:webHidden/>
            <w:sz w:val="20"/>
          </w:rPr>
          <w:t>11</w:t>
        </w:r>
        <w:r w:rsidR="00020897" w:rsidRPr="00126B82">
          <w:rPr>
            <w:rFonts w:ascii="Arial" w:hAnsi="Arial"/>
            <w:webHidden/>
            <w:sz w:val="20"/>
          </w:rPr>
          <w:fldChar w:fldCharType="end"/>
        </w:r>
      </w:hyperlink>
    </w:p>
    <w:p w14:paraId="1B242721" w14:textId="2F392FAC" w:rsidR="00020897" w:rsidRPr="00126B82" w:rsidRDefault="00DF6F07">
      <w:pPr>
        <w:pStyle w:val="TOC2"/>
        <w:rPr>
          <w:rFonts w:eastAsiaTheme="minorEastAsia" w:cs="Arial"/>
        </w:rPr>
      </w:pPr>
      <w:hyperlink w:anchor="_Toc68532154" w:history="1">
        <w:r w:rsidR="00020897" w:rsidRPr="001E1761">
          <w:rPr>
            <w:rStyle w:val="Hyperlink"/>
            <w:rFonts w:cs="Arial"/>
          </w:rPr>
          <w:t>3.1</w:t>
        </w:r>
        <w:r w:rsidR="00020897" w:rsidRPr="00126B82">
          <w:rPr>
            <w:rFonts w:eastAsiaTheme="minorEastAsia" w:cs="Arial"/>
          </w:rPr>
          <w:tab/>
        </w:r>
        <w:r w:rsidR="00020897" w:rsidRPr="001E1761">
          <w:rPr>
            <w:rStyle w:val="Hyperlink"/>
            <w:rFonts w:cs="Arial"/>
          </w:rPr>
          <w:t>Agency</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_Toc68532154 \h </w:instrText>
        </w:r>
        <w:r w:rsidR="00020897" w:rsidRPr="001E1761">
          <w:rPr>
            <w:rFonts w:cs="Arial"/>
            <w:webHidden/>
          </w:rPr>
        </w:r>
        <w:r w:rsidR="00020897" w:rsidRPr="001E1761">
          <w:rPr>
            <w:rFonts w:cs="Arial"/>
            <w:webHidden/>
          </w:rPr>
          <w:fldChar w:fldCharType="separate"/>
        </w:r>
        <w:r w:rsidR="00020897" w:rsidRPr="001E1761">
          <w:rPr>
            <w:rFonts w:cs="Arial"/>
            <w:webHidden/>
          </w:rPr>
          <w:t>11</w:t>
        </w:r>
        <w:r w:rsidR="00020897" w:rsidRPr="001E1761">
          <w:rPr>
            <w:rFonts w:cs="Arial"/>
            <w:webHidden/>
          </w:rPr>
          <w:fldChar w:fldCharType="end"/>
        </w:r>
      </w:hyperlink>
    </w:p>
    <w:p w14:paraId="54FDE418" w14:textId="49193DDE" w:rsidR="00020897" w:rsidRPr="00126B82" w:rsidRDefault="00DF6F07">
      <w:pPr>
        <w:pStyle w:val="TOC2"/>
        <w:rPr>
          <w:rFonts w:eastAsiaTheme="minorEastAsia" w:cs="Arial"/>
        </w:rPr>
      </w:pPr>
      <w:hyperlink w:anchor="_Toc68532155" w:history="1">
        <w:r w:rsidR="00020897" w:rsidRPr="001E1761">
          <w:rPr>
            <w:rStyle w:val="Hyperlink"/>
            <w:rFonts w:cs="Arial"/>
          </w:rPr>
          <w:t>3.2</w:t>
        </w:r>
        <w:r w:rsidR="00020897" w:rsidRPr="00126B82">
          <w:rPr>
            <w:rFonts w:eastAsiaTheme="minorEastAsia" w:cs="Arial"/>
          </w:rPr>
          <w:tab/>
        </w:r>
        <w:r w:rsidR="00020897" w:rsidRPr="001E1761">
          <w:rPr>
            <w:rStyle w:val="Hyperlink"/>
            <w:rFonts w:cs="Arial"/>
          </w:rPr>
          <w:t>Project</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_Toc68532155 \h </w:instrText>
        </w:r>
        <w:r w:rsidR="00020897" w:rsidRPr="001E1761">
          <w:rPr>
            <w:rFonts w:cs="Arial"/>
            <w:webHidden/>
          </w:rPr>
        </w:r>
        <w:r w:rsidR="00020897" w:rsidRPr="001E1761">
          <w:rPr>
            <w:rFonts w:cs="Arial"/>
            <w:webHidden/>
          </w:rPr>
          <w:fldChar w:fldCharType="separate"/>
        </w:r>
        <w:r w:rsidR="00020897" w:rsidRPr="001E1761">
          <w:rPr>
            <w:rFonts w:cs="Arial"/>
            <w:webHidden/>
          </w:rPr>
          <w:t>12</w:t>
        </w:r>
        <w:r w:rsidR="00020897" w:rsidRPr="001E1761">
          <w:rPr>
            <w:rFonts w:cs="Arial"/>
            <w:webHidden/>
          </w:rPr>
          <w:fldChar w:fldCharType="end"/>
        </w:r>
      </w:hyperlink>
    </w:p>
    <w:p w14:paraId="2B245505" w14:textId="700DF301" w:rsidR="00020897" w:rsidRPr="00126B82" w:rsidRDefault="00DF6F07">
      <w:pPr>
        <w:pStyle w:val="TOC2"/>
        <w:rPr>
          <w:rFonts w:eastAsiaTheme="minorEastAsia" w:cs="Arial"/>
        </w:rPr>
      </w:pPr>
      <w:hyperlink w:anchor="_Toc68532156" w:history="1">
        <w:r w:rsidR="00020897" w:rsidRPr="001E1761">
          <w:rPr>
            <w:rStyle w:val="Hyperlink"/>
            <w:rFonts w:cs="Arial"/>
          </w:rPr>
          <w:t>3.3</w:t>
        </w:r>
        <w:r w:rsidR="00020897" w:rsidRPr="00126B82">
          <w:rPr>
            <w:rFonts w:eastAsiaTheme="minorEastAsia" w:cs="Arial"/>
          </w:rPr>
          <w:tab/>
        </w:r>
        <w:r w:rsidR="00020897" w:rsidRPr="001E1761">
          <w:rPr>
            <w:rStyle w:val="Hyperlink"/>
            <w:rFonts w:cs="Arial"/>
          </w:rPr>
          <w:t>Organizational Unit</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_Toc68532156 \h </w:instrText>
        </w:r>
        <w:r w:rsidR="00020897" w:rsidRPr="001E1761">
          <w:rPr>
            <w:rFonts w:cs="Arial"/>
            <w:webHidden/>
          </w:rPr>
        </w:r>
        <w:r w:rsidR="00020897" w:rsidRPr="001E1761">
          <w:rPr>
            <w:rFonts w:cs="Arial"/>
            <w:webHidden/>
          </w:rPr>
          <w:fldChar w:fldCharType="separate"/>
        </w:r>
        <w:r w:rsidR="00020897" w:rsidRPr="001E1761">
          <w:rPr>
            <w:rFonts w:cs="Arial"/>
            <w:webHidden/>
          </w:rPr>
          <w:t>13</w:t>
        </w:r>
        <w:r w:rsidR="00020897" w:rsidRPr="001E1761">
          <w:rPr>
            <w:rFonts w:cs="Arial"/>
            <w:webHidden/>
          </w:rPr>
          <w:fldChar w:fldCharType="end"/>
        </w:r>
      </w:hyperlink>
    </w:p>
    <w:p w14:paraId="2BDE74AA" w14:textId="7C8AB36F" w:rsidR="00020897" w:rsidRPr="00126B82" w:rsidRDefault="00DF6F07">
      <w:pPr>
        <w:pStyle w:val="TOC2"/>
        <w:rPr>
          <w:rFonts w:eastAsiaTheme="minorEastAsia" w:cs="Arial"/>
        </w:rPr>
      </w:pPr>
      <w:hyperlink w:anchor="_Toc68532157" w:history="1">
        <w:r w:rsidR="00020897" w:rsidRPr="001E1761">
          <w:rPr>
            <w:rStyle w:val="Hyperlink"/>
            <w:rFonts w:cs="Arial"/>
          </w:rPr>
          <w:t>3.4</w:t>
        </w:r>
        <w:r w:rsidR="00020897" w:rsidRPr="00126B82">
          <w:rPr>
            <w:rFonts w:eastAsiaTheme="minorEastAsia" w:cs="Arial"/>
          </w:rPr>
          <w:tab/>
        </w:r>
        <w:r w:rsidR="00020897" w:rsidRPr="001E1761">
          <w:rPr>
            <w:rStyle w:val="Hyperlink"/>
            <w:rFonts w:cs="Arial"/>
          </w:rPr>
          <w:t>Program</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_Toc68532157 \h </w:instrText>
        </w:r>
        <w:r w:rsidR="00020897" w:rsidRPr="001E1761">
          <w:rPr>
            <w:rFonts w:cs="Arial"/>
            <w:webHidden/>
          </w:rPr>
        </w:r>
        <w:r w:rsidR="00020897" w:rsidRPr="001E1761">
          <w:rPr>
            <w:rFonts w:cs="Arial"/>
            <w:webHidden/>
          </w:rPr>
          <w:fldChar w:fldCharType="separate"/>
        </w:r>
        <w:r w:rsidR="00020897" w:rsidRPr="001E1761">
          <w:rPr>
            <w:rFonts w:cs="Arial"/>
            <w:webHidden/>
          </w:rPr>
          <w:t>16</w:t>
        </w:r>
        <w:r w:rsidR="00020897" w:rsidRPr="001E1761">
          <w:rPr>
            <w:rFonts w:cs="Arial"/>
            <w:webHidden/>
          </w:rPr>
          <w:fldChar w:fldCharType="end"/>
        </w:r>
      </w:hyperlink>
    </w:p>
    <w:p w14:paraId="102E5B0D" w14:textId="74CED077" w:rsidR="00020897" w:rsidRPr="00126B82" w:rsidRDefault="00DF6F07">
      <w:pPr>
        <w:pStyle w:val="TOC2"/>
        <w:rPr>
          <w:rFonts w:eastAsiaTheme="minorEastAsia" w:cs="Arial"/>
        </w:rPr>
      </w:pPr>
      <w:hyperlink w:anchor="_Toc68532158" w:history="1">
        <w:r w:rsidR="00020897" w:rsidRPr="001E1761">
          <w:rPr>
            <w:rStyle w:val="Hyperlink"/>
            <w:rFonts w:cs="Arial"/>
          </w:rPr>
          <w:t>3.5</w:t>
        </w:r>
        <w:r w:rsidR="00020897" w:rsidRPr="00126B82">
          <w:rPr>
            <w:rFonts w:eastAsiaTheme="minorEastAsia" w:cs="Arial"/>
          </w:rPr>
          <w:tab/>
        </w:r>
        <w:r w:rsidR="00020897" w:rsidRPr="001E1761">
          <w:rPr>
            <w:rStyle w:val="Hyperlink"/>
            <w:rFonts w:cs="Arial"/>
          </w:rPr>
          <w:t>Appropriation</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_Toc68532158 \h </w:instrText>
        </w:r>
        <w:r w:rsidR="00020897" w:rsidRPr="001E1761">
          <w:rPr>
            <w:rFonts w:cs="Arial"/>
            <w:webHidden/>
          </w:rPr>
        </w:r>
        <w:r w:rsidR="00020897" w:rsidRPr="001E1761">
          <w:rPr>
            <w:rFonts w:cs="Arial"/>
            <w:webHidden/>
          </w:rPr>
          <w:fldChar w:fldCharType="separate"/>
        </w:r>
        <w:r w:rsidR="00020897" w:rsidRPr="001E1761">
          <w:rPr>
            <w:rFonts w:cs="Arial"/>
            <w:webHidden/>
          </w:rPr>
          <w:t>17</w:t>
        </w:r>
        <w:r w:rsidR="00020897" w:rsidRPr="001E1761">
          <w:rPr>
            <w:rFonts w:cs="Arial"/>
            <w:webHidden/>
          </w:rPr>
          <w:fldChar w:fldCharType="end"/>
        </w:r>
      </w:hyperlink>
    </w:p>
    <w:p w14:paraId="5D67CB87" w14:textId="1ADAA5DB" w:rsidR="00020897" w:rsidRPr="00126B82" w:rsidRDefault="00DF6F07">
      <w:pPr>
        <w:pStyle w:val="TOC2"/>
        <w:rPr>
          <w:rFonts w:eastAsiaTheme="minorEastAsia" w:cs="Arial"/>
        </w:rPr>
      </w:pPr>
      <w:hyperlink w:anchor="_Toc68532159" w:history="1">
        <w:r w:rsidR="00020897" w:rsidRPr="001E1761">
          <w:rPr>
            <w:rStyle w:val="Hyperlink"/>
            <w:rFonts w:cs="Arial"/>
          </w:rPr>
          <w:t>3.6</w:t>
        </w:r>
        <w:r w:rsidR="00020897" w:rsidRPr="00126B82">
          <w:rPr>
            <w:rFonts w:eastAsiaTheme="minorEastAsia" w:cs="Arial"/>
          </w:rPr>
          <w:tab/>
        </w:r>
        <w:r w:rsidR="00020897" w:rsidRPr="001E1761">
          <w:rPr>
            <w:rStyle w:val="Hyperlink"/>
            <w:rFonts w:cs="Arial"/>
          </w:rPr>
          <w:t>Fund</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_Toc68532159 \h </w:instrText>
        </w:r>
        <w:r w:rsidR="00020897" w:rsidRPr="001E1761">
          <w:rPr>
            <w:rFonts w:cs="Arial"/>
            <w:webHidden/>
          </w:rPr>
        </w:r>
        <w:r w:rsidR="00020897" w:rsidRPr="001E1761">
          <w:rPr>
            <w:rFonts w:cs="Arial"/>
            <w:webHidden/>
          </w:rPr>
          <w:fldChar w:fldCharType="separate"/>
        </w:r>
        <w:r w:rsidR="00020897" w:rsidRPr="001E1761">
          <w:rPr>
            <w:rFonts w:cs="Arial"/>
            <w:webHidden/>
          </w:rPr>
          <w:t>18</w:t>
        </w:r>
        <w:r w:rsidR="00020897" w:rsidRPr="001E1761">
          <w:rPr>
            <w:rFonts w:cs="Arial"/>
            <w:webHidden/>
          </w:rPr>
          <w:fldChar w:fldCharType="end"/>
        </w:r>
      </w:hyperlink>
    </w:p>
    <w:p w14:paraId="71F7D0A8" w14:textId="6D9606FB" w:rsidR="00020897" w:rsidRPr="00126B82" w:rsidRDefault="00DF6F07">
      <w:pPr>
        <w:pStyle w:val="TOC2"/>
        <w:rPr>
          <w:rFonts w:eastAsiaTheme="minorEastAsia" w:cs="Arial"/>
        </w:rPr>
      </w:pPr>
      <w:hyperlink w:anchor="_Toc68532160" w:history="1">
        <w:r w:rsidR="00020897" w:rsidRPr="001E1761">
          <w:rPr>
            <w:rStyle w:val="Hyperlink"/>
            <w:rFonts w:cs="Arial"/>
          </w:rPr>
          <w:t>3.7</w:t>
        </w:r>
        <w:r w:rsidR="00020897" w:rsidRPr="00126B82">
          <w:rPr>
            <w:rFonts w:eastAsiaTheme="minorEastAsia" w:cs="Arial"/>
          </w:rPr>
          <w:tab/>
        </w:r>
        <w:r w:rsidR="00020897" w:rsidRPr="001E1761">
          <w:rPr>
            <w:rStyle w:val="Hyperlink"/>
            <w:rFonts w:cs="Arial"/>
          </w:rPr>
          <w:t>Account</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_Toc68532160 \h </w:instrText>
        </w:r>
        <w:r w:rsidR="00020897" w:rsidRPr="001E1761">
          <w:rPr>
            <w:rFonts w:cs="Arial"/>
            <w:webHidden/>
          </w:rPr>
        </w:r>
        <w:r w:rsidR="00020897" w:rsidRPr="001E1761">
          <w:rPr>
            <w:rFonts w:cs="Arial"/>
            <w:webHidden/>
          </w:rPr>
          <w:fldChar w:fldCharType="separate"/>
        </w:r>
        <w:r w:rsidR="00020897" w:rsidRPr="001E1761">
          <w:rPr>
            <w:rFonts w:cs="Arial"/>
            <w:webHidden/>
          </w:rPr>
          <w:t>20</w:t>
        </w:r>
        <w:r w:rsidR="00020897" w:rsidRPr="001E1761">
          <w:rPr>
            <w:rFonts w:cs="Arial"/>
            <w:webHidden/>
          </w:rPr>
          <w:fldChar w:fldCharType="end"/>
        </w:r>
      </w:hyperlink>
    </w:p>
    <w:p w14:paraId="4B0CBC56" w14:textId="71999B14" w:rsidR="00020897" w:rsidRPr="00126B82" w:rsidRDefault="00DF6F07">
      <w:pPr>
        <w:pStyle w:val="TOC2"/>
        <w:rPr>
          <w:rFonts w:eastAsiaTheme="minorEastAsia" w:cs="Arial"/>
        </w:rPr>
      </w:pPr>
      <w:hyperlink w:anchor="_Toc68532161" w:history="1">
        <w:r w:rsidR="00020897" w:rsidRPr="001E1761">
          <w:rPr>
            <w:rStyle w:val="Hyperlink"/>
            <w:rFonts w:cs="Arial"/>
          </w:rPr>
          <w:t>3.8</w:t>
        </w:r>
        <w:r w:rsidR="00020897" w:rsidRPr="00126B82">
          <w:rPr>
            <w:rFonts w:eastAsiaTheme="minorEastAsia" w:cs="Arial"/>
          </w:rPr>
          <w:tab/>
        </w:r>
        <w:r w:rsidR="00020897" w:rsidRPr="001E1761">
          <w:rPr>
            <w:rStyle w:val="Hyperlink"/>
            <w:rFonts w:cs="Arial"/>
          </w:rPr>
          <w:t>Location</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_Toc68532161 \h </w:instrText>
        </w:r>
        <w:r w:rsidR="00020897" w:rsidRPr="001E1761">
          <w:rPr>
            <w:rFonts w:cs="Arial"/>
            <w:webHidden/>
          </w:rPr>
        </w:r>
        <w:r w:rsidR="00020897" w:rsidRPr="001E1761">
          <w:rPr>
            <w:rFonts w:cs="Arial"/>
            <w:webHidden/>
          </w:rPr>
          <w:fldChar w:fldCharType="separate"/>
        </w:r>
        <w:r w:rsidR="00020897" w:rsidRPr="001E1761">
          <w:rPr>
            <w:rFonts w:cs="Arial"/>
            <w:webHidden/>
          </w:rPr>
          <w:t>22</w:t>
        </w:r>
        <w:r w:rsidR="00020897" w:rsidRPr="001E1761">
          <w:rPr>
            <w:rFonts w:cs="Arial"/>
            <w:webHidden/>
          </w:rPr>
          <w:fldChar w:fldCharType="end"/>
        </w:r>
      </w:hyperlink>
    </w:p>
    <w:p w14:paraId="42A1FA19" w14:textId="46BE8970" w:rsidR="00020897" w:rsidRPr="00126B82" w:rsidRDefault="00DF6F07">
      <w:pPr>
        <w:pStyle w:val="TOC2"/>
        <w:rPr>
          <w:rFonts w:eastAsiaTheme="minorEastAsia" w:cs="Arial"/>
        </w:rPr>
      </w:pPr>
      <w:hyperlink w:anchor="_Toc68532162" w:history="1">
        <w:r w:rsidR="00020897" w:rsidRPr="001E1761">
          <w:rPr>
            <w:rStyle w:val="Hyperlink"/>
            <w:rFonts w:cs="Arial"/>
          </w:rPr>
          <w:t>3.9</w:t>
        </w:r>
        <w:r w:rsidR="00020897" w:rsidRPr="00126B82">
          <w:rPr>
            <w:rFonts w:eastAsiaTheme="minorEastAsia" w:cs="Arial"/>
          </w:rPr>
          <w:tab/>
        </w:r>
        <w:r w:rsidR="00020897" w:rsidRPr="001E1761">
          <w:rPr>
            <w:rStyle w:val="Hyperlink"/>
            <w:rFonts w:cs="Arial"/>
          </w:rPr>
          <w:t>Additional Reporting</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_Toc68532162 \h </w:instrText>
        </w:r>
        <w:r w:rsidR="00020897" w:rsidRPr="001E1761">
          <w:rPr>
            <w:rFonts w:cs="Arial"/>
            <w:webHidden/>
          </w:rPr>
        </w:r>
        <w:r w:rsidR="00020897" w:rsidRPr="001E1761">
          <w:rPr>
            <w:rFonts w:cs="Arial"/>
            <w:webHidden/>
          </w:rPr>
          <w:fldChar w:fldCharType="separate"/>
        </w:r>
        <w:r w:rsidR="00020897" w:rsidRPr="001E1761">
          <w:rPr>
            <w:rFonts w:cs="Arial"/>
            <w:webHidden/>
          </w:rPr>
          <w:t>23</w:t>
        </w:r>
        <w:r w:rsidR="00020897" w:rsidRPr="001E1761">
          <w:rPr>
            <w:rFonts w:cs="Arial"/>
            <w:webHidden/>
          </w:rPr>
          <w:fldChar w:fldCharType="end"/>
        </w:r>
      </w:hyperlink>
    </w:p>
    <w:p w14:paraId="5B04562A" w14:textId="4D154D4C" w:rsidR="00020897" w:rsidRPr="00126B82" w:rsidRDefault="00DF6F07">
      <w:pPr>
        <w:pStyle w:val="TOC2"/>
        <w:rPr>
          <w:rFonts w:eastAsiaTheme="minorEastAsia" w:cs="Arial"/>
        </w:rPr>
      </w:pPr>
      <w:hyperlink w:anchor="_Toc68532163" w:history="1">
        <w:r w:rsidR="00020897" w:rsidRPr="001E1761">
          <w:rPr>
            <w:rStyle w:val="Hyperlink"/>
            <w:rFonts w:cs="Arial"/>
          </w:rPr>
          <w:t>3.10</w:t>
        </w:r>
        <w:r w:rsidR="00020897" w:rsidRPr="00126B82">
          <w:rPr>
            <w:rFonts w:eastAsiaTheme="minorEastAsia" w:cs="Arial"/>
          </w:rPr>
          <w:tab/>
        </w:r>
        <w:r w:rsidR="00020897" w:rsidRPr="001E1761">
          <w:rPr>
            <w:rStyle w:val="Hyperlink"/>
            <w:rFonts w:cs="Arial"/>
          </w:rPr>
          <w:t>Trust Account</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_Toc68532163 \h </w:instrText>
        </w:r>
        <w:r w:rsidR="00020897" w:rsidRPr="001E1761">
          <w:rPr>
            <w:rFonts w:cs="Arial"/>
            <w:webHidden/>
          </w:rPr>
        </w:r>
        <w:r w:rsidR="00020897" w:rsidRPr="001E1761">
          <w:rPr>
            <w:rFonts w:cs="Arial"/>
            <w:webHidden/>
          </w:rPr>
          <w:fldChar w:fldCharType="separate"/>
        </w:r>
        <w:r w:rsidR="00020897" w:rsidRPr="001E1761">
          <w:rPr>
            <w:rFonts w:cs="Arial"/>
            <w:webHidden/>
          </w:rPr>
          <w:t>25</w:t>
        </w:r>
        <w:r w:rsidR="00020897" w:rsidRPr="001E1761">
          <w:rPr>
            <w:rFonts w:cs="Arial"/>
            <w:webHidden/>
          </w:rPr>
          <w:fldChar w:fldCharType="end"/>
        </w:r>
      </w:hyperlink>
    </w:p>
    <w:p w14:paraId="506A753B" w14:textId="3561EB2B" w:rsidR="00020897" w:rsidRPr="00126B82" w:rsidRDefault="00DF6F07">
      <w:pPr>
        <w:pStyle w:val="TOC2"/>
        <w:rPr>
          <w:rFonts w:eastAsiaTheme="minorEastAsia" w:cs="Arial"/>
        </w:rPr>
      </w:pPr>
      <w:hyperlink w:anchor="_Toc68532164" w:history="1">
        <w:r w:rsidR="00020897" w:rsidRPr="001E1761">
          <w:rPr>
            <w:rStyle w:val="Hyperlink"/>
            <w:rFonts w:cs="Arial"/>
          </w:rPr>
          <w:t>3.11</w:t>
        </w:r>
        <w:r w:rsidR="00020897" w:rsidRPr="00126B82">
          <w:rPr>
            <w:rFonts w:eastAsiaTheme="minorEastAsia" w:cs="Arial"/>
          </w:rPr>
          <w:tab/>
        </w:r>
        <w:r w:rsidR="00020897" w:rsidRPr="001E1761">
          <w:rPr>
            <w:rStyle w:val="Hyperlink"/>
            <w:rFonts w:cs="Arial"/>
          </w:rPr>
          <w:t>Funding Source</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_Toc68532164 \h </w:instrText>
        </w:r>
        <w:r w:rsidR="00020897" w:rsidRPr="001E1761">
          <w:rPr>
            <w:rFonts w:cs="Arial"/>
            <w:webHidden/>
          </w:rPr>
        </w:r>
        <w:r w:rsidR="00020897" w:rsidRPr="001E1761">
          <w:rPr>
            <w:rFonts w:cs="Arial"/>
            <w:webHidden/>
          </w:rPr>
          <w:fldChar w:fldCharType="separate"/>
        </w:r>
        <w:r w:rsidR="00020897" w:rsidRPr="001E1761">
          <w:rPr>
            <w:rFonts w:cs="Arial"/>
            <w:webHidden/>
          </w:rPr>
          <w:t>26</w:t>
        </w:r>
        <w:r w:rsidR="00020897" w:rsidRPr="001E1761">
          <w:rPr>
            <w:rFonts w:cs="Arial"/>
            <w:webHidden/>
          </w:rPr>
          <w:fldChar w:fldCharType="end"/>
        </w:r>
      </w:hyperlink>
    </w:p>
    <w:p w14:paraId="1F202876" w14:textId="2B77CA4F" w:rsidR="00020897" w:rsidRPr="00126B82" w:rsidRDefault="00DF6F07">
      <w:pPr>
        <w:pStyle w:val="TOC2"/>
        <w:rPr>
          <w:rFonts w:eastAsiaTheme="minorEastAsia" w:cs="Arial"/>
        </w:rPr>
      </w:pPr>
      <w:hyperlink w:anchor="_Toc68532165" w:history="1">
        <w:r w:rsidR="00020897" w:rsidRPr="001E1761">
          <w:rPr>
            <w:rStyle w:val="Hyperlink"/>
            <w:rFonts w:cs="Arial"/>
          </w:rPr>
          <w:t>3.12</w:t>
        </w:r>
        <w:r w:rsidR="00020897" w:rsidRPr="00126B82">
          <w:rPr>
            <w:rFonts w:eastAsiaTheme="minorEastAsia" w:cs="Arial"/>
          </w:rPr>
          <w:tab/>
        </w:r>
        <w:r w:rsidR="00020897" w:rsidRPr="001E1761">
          <w:rPr>
            <w:rStyle w:val="Hyperlink"/>
            <w:rFonts w:cs="Arial"/>
          </w:rPr>
          <w:t>System Interagency</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_Toc68532165 \h </w:instrText>
        </w:r>
        <w:r w:rsidR="00020897" w:rsidRPr="001E1761">
          <w:rPr>
            <w:rFonts w:cs="Arial"/>
            <w:webHidden/>
          </w:rPr>
        </w:r>
        <w:r w:rsidR="00020897" w:rsidRPr="001E1761">
          <w:rPr>
            <w:rFonts w:cs="Arial"/>
            <w:webHidden/>
          </w:rPr>
          <w:fldChar w:fldCharType="separate"/>
        </w:r>
        <w:r w:rsidR="00020897" w:rsidRPr="001E1761">
          <w:rPr>
            <w:rFonts w:cs="Arial"/>
            <w:webHidden/>
          </w:rPr>
          <w:t>27</w:t>
        </w:r>
        <w:r w:rsidR="00020897" w:rsidRPr="001E1761">
          <w:rPr>
            <w:rFonts w:cs="Arial"/>
            <w:webHidden/>
          </w:rPr>
          <w:fldChar w:fldCharType="end"/>
        </w:r>
      </w:hyperlink>
    </w:p>
    <w:p w14:paraId="2FBCEA0B" w14:textId="38B5A0A2" w:rsidR="00020897" w:rsidRPr="00126B82" w:rsidRDefault="00DF6F07">
      <w:pPr>
        <w:pStyle w:val="TOC1"/>
        <w:rPr>
          <w:rFonts w:ascii="Arial" w:eastAsiaTheme="minorEastAsia" w:hAnsi="Arial"/>
          <w:b w:val="0"/>
          <w:sz w:val="20"/>
        </w:rPr>
      </w:pPr>
      <w:hyperlink w:anchor="_Toc68532166" w:history="1">
        <w:r w:rsidR="00020897" w:rsidRPr="00020897">
          <w:rPr>
            <w:rStyle w:val="Hyperlink"/>
          </w:rPr>
          <w:t>4</w:t>
        </w:r>
        <w:r w:rsidR="00020897" w:rsidRPr="00126B82">
          <w:rPr>
            <w:rFonts w:ascii="Arial" w:eastAsiaTheme="minorEastAsia" w:hAnsi="Arial"/>
            <w:b w:val="0"/>
            <w:sz w:val="20"/>
          </w:rPr>
          <w:tab/>
        </w:r>
        <w:r w:rsidR="00020897" w:rsidRPr="00020897">
          <w:rPr>
            <w:rStyle w:val="Hyperlink"/>
          </w:rPr>
          <w:t>Appendix</w:t>
        </w:r>
        <w:r w:rsidR="00020897" w:rsidRPr="00126B82">
          <w:rPr>
            <w:rFonts w:ascii="Arial" w:hAnsi="Arial"/>
            <w:webHidden/>
            <w:sz w:val="20"/>
          </w:rPr>
          <w:tab/>
        </w:r>
        <w:r w:rsidR="00020897" w:rsidRPr="00126B82">
          <w:rPr>
            <w:rFonts w:ascii="Arial" w:hAnsi="Arial"/>
            <w:webHidden/>
            <w:sz w:val="20"/>
          </w:rPr>
          <w:fldChar w:fldCharType="begin"/>
        </w:r>
        <w:r w:rsidR="00020897" w:rsidRPr="00126B82">
          <w:rPr>
            <w:rFonts w:ascii="Arial" w:hAnsi="Arial"/>
            <w:webHidden/>
            <w:sz w:val="20"/>
          </w:rPr>
          <w:instrText xml:space="preserve"> PAGEREF _Toc68532166 \h </w:instrText>
        </w:r>
        <w:r w:rsidR="00020897" w:rsidRPr="00126B82">
          <w:rPr>
            <w:rFonts w:ascii="Arial" w:hAnsi="Arial"/>
            <w:webHidden/>
            <w:sz w:val="20"/>
          </w:rPr>
        </w:r>
        <w:r w:rsidR="00020897" w:rsidRPr="00126B82">
          <w:rPr>
            <w:rFonts w:ascii="Arial" w:hAnsi="Arial"/>
            <w:webHidden/>
            <w:sz w:val="20"/>
          </w:rPr>
          <w:fldChar w:fldCharType="separate"/>
        </w:r>
        <w:r w:rsidR="00020897" w:rsidRPr="00126B82">
          <w:rPr>
            <w:rFonts w:ascii="Arial" w:hAnsi="Arial"/>
            <w:webHidden/>
            <w:sz w:val="20"/>
          </w:rPr>
          <w:t>29</w:t>
        </w:r>
        <w:r w:rsidR="00020897" w:rsidRPr="00126B82">
          <w:rPr>
            <w:rFonts w:ascii="Arial" w:hAnsi="Arial"/>
            <w:webHidden/>
            <w:sz w:val="20"/>
          </w:rPr>
          <w:fldChar w:fldCharType="end"/>
        </w:r>
      </w:hyperlink>
    </w:p>
    <w:p w14:paraId="7D6B8428" w14:textId="4E0CBAF2" w:rsidR="00020897" w:rsidRPr="00126B82" w:rsidRDefault="00DF6F07">
      <w:pPr>
        <w:pStyle w:val="TOC2"/>
        <w:rPr>
          <w:rFonts w:eastAsiaTheme="minorEastAsia" w:cs="Arial"/>
        </w:rPr>
      </w:pPr>
      <w:hyperlink w:anchor="_Toc68532167" w:history="1">
        <w:r w:rsidR="00020897" w:rsidRPr="001E1761">
          <w:rPr>
            <w:rStyle w:val="Hyperlink"/>
            <w:rFonts w:cs="Arial"/>
          </w:rPr>
          <w:t>4.1</w:t>
        </w:r>
        <w:r w:rsidR="00020897" w:rsidRPr="00126B82">
          <w:rPr>
            <w:rFonts w:eastAsiaTheme="minorEastAsia" w:cs="Arial"/>
          </w:rPr>
          <w:tab/>
        </w:r>
        <w:r w:rsidR="00020897" w:rsidRPr="001E1761">
          <w:rPr>
            <w:rStyle w:val="Hyperlink"/>
            <w:rFonts w:cs="Arial"/>
          </w:rPr>
          <w:t>Sample Statewide Crosswalks</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_Toc68532167 \h </w:instrText>
        </w:r>
        <w:r w:rsidR="00020897" w:rsidRPr="001E1761">
          <w:rPr>
            <w:rFonts w:cs="Arial"/>
            <w:webHidden/>
          </w:rPr>
        </w:r>
        <w:r w:rsidR="00020897" w:rsidRPr="001E1761">
          <w:rPr>
            <w:rFonts w:cs="Arial"/>
            <w:webHidden/>
          </w:rPr>
          <w:fldChar w:fldCharType="separate"/>
        </w:r>
        <w:r w:rsidR="00020897" w:rsidRPr="001E1761">
          <w:rPr>
            <w:rFonts w:cs="Arial"/>
            <w:webHidden/>
          </w:rPr>
          <w:t>29</w:t>
        </w:r>
        <w:r w:rsidR="00020897" w:rsidRPr="001E1761">
          <w:rPr>
            <w:rFonts w:cs="Arial"/>
            <w:webHidden/>
          </w:rPr>
          <w:fldChar w:fldCharType="end"/>
        </w:r>
      </w:hyperlink>
    </w:p>
    <w:p w14:paraId="20B9DC68" w14:textId="40958EEE" w:rsidR="00020897" w:rsidRPr="00126B82" w:rsidRDefault="00DF6F07">
      <w:pPr>
        <w:pStyle w:val="TOC2"/>
        <w:rPr>
          <w:rFonts w:eastAsiaTheme="minorEastAsia" w:cs="Arial"/>
        </w:rPr>
      </w:pPr>
      <w:hyperlink w:anchor="_Toc68532168" w:history="1">
        <w:r w:rsidR="00020897" w:rsidRPr="001E1761">
          <w:rPr>
            <w:rStyle w:val="Hyperlink"/>
            <w:rFonts w:cs="Arial"/>
          </w:rPr>
          <w:t>4.2</w:t>
        </w:r>
        <w:r w:rsidR="00020897" w:rsidRPr="00126B82">
          <w:rPr>
            <w:rFonts w:eastAsiaTheme="minorEastAsia" w:cs="Arial"/>
          </w:rPr>
          <w:tab/>
        </w:r>
        <w:r w:rsidR="00020897" w:rsidRPr="001E1761">
          <w:rPr>
            <w:rStyle w:val="Hyperlink"/>
            <w:rFonts w:cs="Arial"/>
          </w:rPr>
          <w:t>Key Luma Terminology</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_Toc68532168 \h </w:instrText>
        </w:r>
        <w:r w:rsidR="00020897" w:rsidRPr="001E1761">
          <w:rPr>
            <w:rFonts w:cs="Arial"/>
            <w:webHidden/>
          </w:rPr>
        </w:r>
        <w:r w:rsidR="00020897" w:rsidRPr="001E1761">
          <w:rPr>
            <w:rFonts w:cs="Arial"/>
            <w:webHidden/>
          </w:rPr>
          <w:fldChar w:fldCharType="separate"/>
        </w:r>
        <w:r w:rsidR="00020897" w:rsidRPr="001E1761">
          <w:rPr>
            <w:rFonts w:cs="Arial"/>
            <w:webHidden/>
          </w:rPr>
          <w:t>32</w:t>
        </w:r>
        <w:r w:rsidR="00020897" w:rsidRPr="001E1761">
          <w:rPr>
            <w:rFonts w:cs="Arial"/>
            <w:webHidden/>
          </w:rPr>
          <w:fldChar w:fldCharType="end"/>
        </w:r>
      </w:hyperlink>
    </w:p>
    <w:p w14:paraId="15494E96" w14:textId="0FAA789E" w:rsidR="00020897" w:rsidRPr="00126B82" w:rsidRDefault="00DF6F07">
      <w:pPr>
        <w:pStyle w:val="TOC2"/>
        <w:rPr>
          <w:rFonts w:eastAsiaTheme="minorEastAsia" w:cs="Arial"/>
        </w:rPr>
      </w:pPr>
      <w:hyperlink w:anchor="_Toc68532169" w:history="1">
        <w:r w:rsidR="00020897" w:rsidRPr="001E1761">
          <w:rPr>
            <w:rStyle w:val="Hyperlink"/>
            <w:rFonts w:cs="Arial"/>
          </w:rPr>
          <w:t>4.3</w:t>
        </w:r>
        <w:r w:rsidR="00020897" w:rsidRPr="00126B82">
          <w:rPr>
            <w:rFonts w:eastAsiaTheme="minorEastAsia" w:cs="Arial"/>
          </w:rPr>
          <w:tab/>
        </w:r>
        <w:r w:rsidR="00020897" w:rsidRPr="001E1761">
          <w:rPr>
            <w:rStyle w:val="Hyperlink"/>
            <w:rFonts w:cs="Arial"/>
          </w:rPr>
          <w:t>Dimension Code Elements</w:t>
        </w:r>
        <w:r w:rsidR="00020897" w:rsidRPr="001E1761">
          <w:rPr>
            <w:rFonts w:cs="Arial"/>
            <w:webHidden/>
          </w:rPr>
          <w:tab/>
        </w:r>
        <w:r w:rsidR="00020897" w:rsidRPr="001E1761">
          <w:rPr>
            <w:rFonts w:cs="Arial"/>
            <w:webHidden/>
          </w:rPr>
          <w:fldChar w:fldCharType="begin"/>
        </w:r>
        <w:r w:rsidR="00020897" w:rsidRPr="00126B82">
          <w:rPr>
            <w:rFonts w:cs="Arial"/>
            <w:webHidden/>
          </w:rPr>
          <w:instrText xml:space="preserve"> PAGEREF _Toc68532169 \h </w:instrText>
        </w:r>
        <w:r w:rsidR="00020897" w:rsidRPr="001E1761">
          <w:rPr>
            <w:rFonts w:cs="Arial"/>
            <w:webHidden/>
          </w:rPr>
        </w:r>
        <w:r w:rsidR="00020897" w:rsidRPr="001E1761">
          <w:rPr>
            <w:rFonts w:cs="Arial"/>
            <w:webHidden/>
          </w:rPr>
          <w:fldChar w:fldCharType="separate"/>
        </w:r>
        <w:r w:rsidR="00020897" w:rsidRPr="001E1761">
          <w:rPr>
            <w:rFonts w:cs="Arial"/>
            <w:webHidden/>
          </w:rPr>
          <w:t>33</w:t>
        </w:r>
        <w:r w:rsidR="00020897" w:rsidRPr="001E1761">
          <w:rPr>
            <w:rFonts w:cs="Arial"/>
            <w:webHidden/>
          </w:rPr>
          <w:fldChar w:fldCharType="end"/>
        </w:r>
      </w:hyperlink>
    </w:p>
    <w:p w14:paraId="2AFCB8D3" w14:textId="77777777" w:rsidR="00F3111B" w:rsidRPr="00F3174C" w:rsidRDefault="00D242CE" w:rsidP="000F21BF">
      <w:pPr>
        <w:pStyle w:val="Bodycopy"/>
        <w:rPr>
          <w:rFonts w:cs="Arial"/>
        </w:rPr>
      </w:pPr>
      <w:r w:rsidRPr="001E1761">
        <w:rPr>
          <w:rFonts w:cs="Arial"/>
          <w:noProof/>
        </w:rPr>
        <w:fldChar w:fldCharType="end"/>
      </w:r>
    </w:p>
    <w:p w14:paraId="3C4B52F7" w14:textId="77777777" w:rsidR="00F3111B" w:rsidRPr="00F3174C" w:rsidRDefault="00F3111B" w:rsidP="00F8558A">
      <w:pPr>
        <w:pStyle w:val="Bodycopy"/>
        <w:sectPr w:rsidR="00F3111B" w:rsidRPr="00F3174C" w:rsidSect="002D2121">
          <w:headerReference w:type="default" r:id="rId17"/>
          <w:footerReference w:type="default" r:id="rId18"/>
          <w:pgSz w:w="12240" w:h="15840" w:code="1"/>
          <w:pgMar w:top="1440" w:right="1440" w:bottom="1440" w:left="1440" w:header="720" w:footer="720" w:gutter="0"/>
          <w:pgBorders w:offsetFrom="page">
            <w:top w:val="single" w:sz="4" w:space="24" w:color="FFFFFF"/>
          </w:pgBorders>
          <w:cols w:space="720"/>
          <w:docGrid w:linePitch="218"/>
        </w:sectPr>
      </w:pPr>
    </w:p>
    <w:p w14:paraId="30BA9F2E" w14:textId="77777777" w:rsidR="00D0205B" w:rsidRDefault="00BA2DC6" w:rsidP="00741EA8">
      <w:pPr>
        <w:pStyle w:val="Heading1"/>
      </w:pPr>
      <w:bookmarkStart w:id="10" w:name="_Toc68532143"/>
      <w:r>
        <w:lastRenderedPageBreak/>
        <w:t>Introduction</w:t>
      </w:r>
      <w:bookmarkEnd w:id="10"/>
    </w:p>
    <w:p w14:paraId="02796C33" w14:textId="77777777" w:rsidR="00693CC1" w:rsidRDefault="00D322B2" w:rsidP="00270473">
      <w:pPr>
        <w:pStyle w:val="Heading2"/>
      </w:pPr>
      <w:bookmarkStart w:id="11" w:name="_Toc68532144"/>
      <w:r>
        <w:t xml:space="preserve">Deliverable </w:t>
      </w:r>
      <w:r w:rsidR="00BA2DC6">
        <w:t>Description</w:t>
      </w:r>
      <w:bookmarkEnd w:id="11"/>
    </w:p>
    <w:p w14:paraId="073894C2" w14:textId="77777777" w:rsidR="00DB1CDA" w:rsidRPr="00DB1CDA" w:rsidRDefault="00DB1CDA" w:rsidP="00DB1CDA">
      <w:pPr>
        <w:pStyle w:val="Bodycopy"/>
        <w:rPr>
          <w:lang w:val="en-GB"/>
        </w:rPr>
      </w:pPr>
      <w:r w:rsidRPr="00DB1CDA">
        <w:rPr>
          <w:lang w:val="en-GB"/>
        </w:rPr>
        <w:t xml:space="preserve">This </w:t>
      </w:r>
      <w:r w:rsidR="00674DF4">
        <w:rPr>
          <w:lang w:val="en-GB"/>
        </w:rPr>
        <w:t>Chart of Accounts</w:t>
      </w:r>
      <w:r w:rsidRPr="00DB1CDA">
        <w:rPr>
          <w:lang w:val="en-GB"/>
        </w:rPr>
        <w:t xml:space="preserve"> (COA) Design deliverable document includes an introduction section describing the purpose, methodology approach, and intended use of this deliverable as specified in Deliverable Expectation Document (DED) 20, </w:t>
      </w:r>
      <w:r w:rsidR="00674DF4">
        <w:rPr>
          <w:lang w:val="en-GB"/>
        </w:rPr>
        <w:t>Chart of Accounts</w:t>
      </w:r>
      <w:r w:rsidRPr="00DB1CDA">
        <w:rPr>
          <w:lang w:val="en-GB"/>
        </w:rPr>
        <w:t xml:space="preserve"> Design.</w:t>
      </w:r>
      <w:r w:rsidR="009754F7">
        <w:rPr>
          <w:lang w:val="en-GB"/>
        </w:rPr>
        <w:t xml:space="preserve"> </w:t>
      </w:r>
    </w:p>
    <w:p w14:paraId="20AF7ABF" w14:textId="77777777" w:rsidR="00DB1CDA" w:rsidRPr="00DB1CDA" w:rsidRDefault="00DB1CDA" w:rsidP="00DB1CDA">
      <w:pPr>
        <w:pStyle w:val="Bodycopy"/>
        <w:rPr>
          <w:lang w:val="en-GB"/>
        </w:rPr>
      </w:pPr>
      <w:r w:rsidRPr="00DB1CDA">
        <w:rPr>
          <w:lang w:val="en-GB"/>
        </w:rPr>
        <w:t xml:space="preserve">Following this introduction section is an Overview of the </w:t>
      </w:r>
      <w:r w:rsidR="00674DF4">
        <w:rPr>
          <w:lang w:val="en-GB"/>
        </w:rPr>
        <w:t>Chart of Accounts</w:t>
      </w:r>
      <w:r w:rsidRPr="00DB1CDA">
        <w:rPr>
          <w:lang w:val="en-GB"/>
        </w:rPr>
        <w:t xml:space="preserve"> Development Process.</w:t>
      </w:r>
      <w:r w:rsidR="009754F7">
        <w:rPr>
          <w:lang w:val="en-GB"/>
        </w:rPr>
        <w:t xml:space="preserve"> </w:t>
      </w:r>
      <w:r w:rsidRPr="00DB1CDA">
        <w:rPr>
          <w:lang w:val="en-GB"/>
        </w:rPr>
        <w:t xml:space="preserve">The overview describes in greater detail the guiding principles of the </w:t>
      </w:r>
      <w:r w:rsidR="00674DF4">
        <w:rPr>
          <w:lang w:val="en-GB"/>
        </w:rPr>
        <w:t>Chart of Accounts</w:t>
      </w:r>
      <w:r w:rsidRPr="00DB1CDA">
        <w:rPr>
          <w:lang w:val="en-GB"/>
        </w:rPr>
        <w:t xml:space="preserve"> </w:t>
      </w:r>
      <w:r w:rsidR="004F54D4">
        <w:rPr>
          <w:lang w:val="en-GB"/>
        </w:rPr>
        <w:t>C</w:t>
      </w:r>
      <w:r w:rsidRPr="00DB1CDA">
        <w:rPr>
          <w:lang w:val="en-GB"/>
        </w:rPr>
        <w:t xml:space="preserve">harter, the design timeline, the development methodology employed by the </w:t>
      </w:r>
      <w:r w:rsidR="00D812EA">
        <w:rPr>
          <w:lang w:val="en-GB"/>
        </w:rPr>
        <w:t>Luma Finance team</w:t>
      </w:r>
      <w:r w:rsidRPr="00DB1CDA">
        <w:rPr>
          <w:lang w:val="en-GB"/>
        </w:rPr>
        <w:t xml:space="preserve">, and reviews of the </w:t>
      </w:r>
      <w:r w:rsidR="00674DF4">
        <w:rPr>
          <w:lang w:val="en-GB"/>
        </w:rPr>
        <w:t>Chart of Accounts</w:t>
      </w:r>
      <w:r w:rsidRPr="00DB1CDA">
        <w:rPr>
          <w:lang w:val="en-GB"/>
        </w:rPr>
        <w:t xml:space="preserve"> design work by oversight bodies.</w:t>
      </w:r>
    </w:p>
    <w:p w14:paraId="0704B890" w14:textId="77777777" w:rsidR="00DB1CDA" w:rsidRPr="00DB1CDA" w:rsidRDefault="00DB1CDA" w:rsidP="00DB1CDA">
      <w:pPr>
        <w:pStyle w:val="Bodycopy"/>
        <w:rPr>
          <w:lang w:val="en-GB"/>
        </w:rPr>
      </w:pPr>
      <w:r w:rsidRPr="00DB1CDA">
        <w:rPr>
          <w:lang w:val="en-GB"/>
        </w:rPr>
        <w:t xml:space="preserve">Section </w:t>
      </w:r>
      <w:r w:rsidR="00F96F8A">
        <w:rPr>
          <w:lang w:val="en-GB"/>
        </w:rPr>
        <w:t>3</w:t>
      </w:r>
      <w:r w:rsidRPr="00DB1CDA">
        <w:rPr>
          <w:lang w:val="en-GB"/>
        </w:rPr>
        <w:t xml:space="preserve"> contains an in-depth discussion of each COA proposed dimension which includes the dimension definition (purpose), purpose rationale, structure, and structure rationale.</w:t>
      </w:r>
    </w:p>
    <w:p w14:paraId="5B2925F8" w14:textId="77777777" w:rsidR="00DB1CDA" w:rsidRDefault="00DB1CDA" w:rsidP="00DB1CDA">
      <w:pPr>
        <w:pStyle w:val="Bodycopy"/>
        <w:rPr>
          <w:lang w:val="en-GB"/>
        </w:rPr>
      </w:pPr>
      <w:r w:rsidRPr="00DB1CDA">
        <w:rPr>
          <w:lang w:val="en-GB"/>
        </w:rPr>
        <w:t xml:space="preserve">The document concludes with various appendices, including proposed COA accounting strings, sample crosswalks from the legacy </w:t>
      </w:r>
      <w:proofErr w:type="spellStart"/>
      <w:r w:rsidRPr="00DB1CDA">
        <w:rPr>
          <w:lang w:val="en-GB"/>
        </w:rPr>
        <w:t>Statewide</w:t>
      </w:r>
      <w:proofErr w:type="spellEnd"/>
      <w:r w:rsidRPr="00DB1CDA">
        <w:rPr>
          <w:lang w:val="en-GB"/>
        </w:rPr>
        <w:t xml:space="preserve"> Accounting and Reporting System (STARS) to the new COA design, and key </w:t>
      </w:r>
      <w:r w:rsidR="00450F58">
        <w:rPr>
          <w:lang w:val="en-GB"/>
        </w:rPr>
        <w:t>Luma</w:t>
      </w:r>
      <w:r w:rsidRPr="00DB1CDA">
        <w:rPr>
          <w:lang w:val="en-GB"/>
        </w:rPr>
        <w:t xml:space="preserve"> terminology as well as an at-a-glance grid summarizing the structural information contained in Section </w:t>
      </w:r>
      <w:r w:rsidR="00636249">
        <w:rPr>
          <w:lang w:val="en-GB"/>
        </w:rPr>
        <w:t>3</w:t>
      </w:r>
      <w:r w:rsidRPr="00DB1CDA">
        <w:rPr>
          <w:lang w:val="en-GB"/>
        </w:rPr>
        <w:t>.</w:t>
      </w:r>
    </w:p>
    <w:p w14:paraId="54A27F62" w14:textId="737B90F4" w:rsidR="002728A9" w:rsidRPr="00DB1CDA" w:rsidRDefault="002728A9" w:rsidP="00DB1CDA">
      <w:pPr>
        <w:pStyle w:val="Bodycopy"/>
        <w:rPr>
          <w:lang w:val="en-GB"/>
        </w:rPr>
      </w:pPr>
      <w:r>
        <w:rPr>
          <w:lang w:val="en-GB"/>
        </w:rPr>
        <w:t xml:space="preserve">Refer to the PowerPoint presentation titled </w:t>
      </w:r>
      <w:r w:rsidRPr="002728A9">
        <w:rPr>
          <w:i/>
          <w:lang w:val="en-GB"/>
        </w:rPr>
        <w:t>Deliverable_020_</w:t>
      </w:r>
      <w:r w:rsidR="00674DF4">
        <w:rPr>
          <w:i/>
          <w:lang w:val="en-GB"/>
        </w:rPr>
        <w:t>Chart of Accounts</w:t>
      </w:r>
      <w:r w:rsidRPr="002728A9">
        <w:rPr>
          <w:i/>
          <w:lang w:val="en-GB"/>
        </w:rPr>
        <w:t xml:space="preserve"> Design</w:t>
      </w:r>
      <w:r w:rsidR="004F54D4">
        <w:rPr>
          <w:i/>
          <w:lang w:val="en-GB"/>
        </w:rPr>
        <w:t xml:space="preserve"> Final</w:t>
      </w:r>
      <w:r w:rsidR="00E50A20">
        <w:rPr>
          <w:i/>
          <w:lang w:val="en-GB"/>
        </w:rPr>
        <w:t>_</w:t>
      </w:r>
      <w:r w:rsidR="00CD2510">
        <w:rPr>
          <w:i/>
          <w:lang w:val="en-GB"/>
        </w:rPr>
        <w:t>DEC2020</w:t>
      </w:r>
      <w:r w:rsidRPr="002728A9">
        <w:rPr>
          <w:i/>
          <w:lang w:val="en-GB"/>
        </w:rPr>
        <w:t>.pptx</w:t>
      </w:r>
      <w:r>
        <w:rPr>
          <w:lang w:val="en-GB"/>
        </w:rPr>
        <w:t xml:space="preserve"> for additional information regarding the Luma COA design. </w:t>
      </w:r>
    </w:p>
    <w:p w14:paraId="78FDC47D" w14:textId="77777777" w:rsidR="00BA2DC6" w:rsidRDefault="00BA2DC6" w:rsidP="00270473">
      <w:pPr>
        <w:pStyle w:val="Heading2"/>
      </w:pPr>
      <w:bookmarkStart w:id="12" w:name="_Toc68532145"/>
      <w:r>
        <w:t>Purpose</w:t>
      </w:r>
      <w:bookmarkEnd w:id="12"/>
    </w:p>
    <w:p w14:paraId="3A67F336" w14:textId="77777777" w:rsidR="00C46AFC" w:rsidRPr="00C46AFC" w:rsidRDefault="00C46AFC" w:rsidP="00C46AFC">
      <w:pPr>
        <w:pStyle w:val="Bodycopy"/>
        <w:rPr>
          <w:lang w:val="en-GB"/>
        </w:rPr>
      </w:pPr>
      <w:r w:rsidRPr="00C46AFC">
        <w:rPr>
          <w:lang w:val="en-GB"/>
        </w:rPr>
        <w:t>The purpose of this document</w:t>
      </w:r>
      <w:r w:rsidR="00E16EB2">
        <w:rPr>
          <w:lang w:val="en-GB"/>
        </w:rPr>
        <w:t xml:space="preserve">, as stated in </w:t>
      </w:r>
      <w:r w:rsidRPr="00C46AFC">
        <w:rPr>
          <w:lang w:val="en-GB"/>
        </w:rPr>
        <w:t>DED No. 20</w:t>
      </w:r>
      <w:r w:rsidR="00E16EB2">
        <w:rPr>
          <w:lang w:val="en-GB"/>
        </w:rPr>
        <w:t>,</w:t>
      </w:r>
      <w:r w:rsidRPr="00C46AFC">
        <w:rPr>
          <w:lang w:val="en-GB"/>
        </w:rPr>
        <w:t xml:space="preserve"> </w:t>
      </w:r>
      <w:r w:rsidR="00D322B2">
        <w:rPr>
          <w:lang w:val="en-GB"/>
        </w:rPr>
        <w:t xml:space="preserve">is to define the new State of Idaho </w:t>
      </w:r>
      <w:r w:rsidR="00674DF4">
        <w:rPr>
          <w:lang w:val="en-GB"/>
        </w:rPr>
        <w:t>Chart of Accounts</w:t>
      </w:r>
      <w:r w:rsidR="00D322B2">
        <w:rPr>
          <w:lang w:val="en-GB"/>
        </w:rPr>
        <w:t xml:space="preserve"> </w:t>
      </w:r>
      <w:r w:rsidR="00253FB1">
        <w:rPr>
          <w:lang w:val="en-GB"/>
        </w:rPr>
        <w:t>(</w:t>
      </w:r>
      <w:r w:rsidRPr="00C46AFC">
        <w:rPr>
          <w:lang w:val="en-GB"/>
        </w:rPr>
        <w:t>the underlying financial and management reporting structure</w:t>
      </w:r>
      <w:r w:rsidR="00253FB1">
        <w:rPr>
          <w:lang w:val="en-GB"/>
        </w:rPr>
        <w:t xml:space="preserve"> for Luma)</w:t>
      </w:r>
      <w:r w:rsidRPr="00C46AFC">
        <w:rPr>
          <w:lang w:val="en-GB"/>
        </w:rPr>
        <w:t xml:space="preserve">, provide high-level mapping </w:t>
      </w:r>
      <w:r w:rsidR="001365CB">
        <w:rPr>
          <w:lang w:val="en-GB"/>
        </w:rPr>
        <w:t>to</w:t>
      </w:r>
      <w:r w:rsidRPr="00C46AFC">
        <w:rPr>
          <w:lang w:val="en-GB"/>
        </w:rPr>
        <w:t xml:space="preserve"> STARS, propose naming conventions, and set up a roadmap for transitioning to </w:t>
      </w:r>
      <w:r w:rsidR="00E10759">
        <w:rPr>
          <w:lang w:val="en-GB"/>
        </w:rPr>
        <w:t>Luma.</w:t>
      </w:r>
    </w:p>
    <w:p w14:paraId="40EA2593" w14:textId="77777777" w:rsidR="00BA2DC6" w:rsidRDefault="00BA2DC6" w:rsidP="00270473">
      <w:pPr>
        <w:pStyle w:val="Heading2"/>
      </w:pPr>
      <w:bookmarkStart w:id="13" w:name="_Toc68532146"/>
      <w:r>
        <w:t>Methodology Approach</w:t>
      </w:r>
      <w:bookmarkEnd w:id="13"/>
    </w:p>
    <w:p w14:paraId="71B052C3" w14:textId="6674C8CA" w:rsidR="00C46AFC" w:rsidRPr="00C46AFC" w:rsidRDefault="00C46AFC" w:rsidP="00C46AFC">
      <w:pPr>
        <w:pStyle w:val="Bodycopy"/>
        <w:rPr>
          <w:lang w:val="en-GB"/>
        </w:rPr>
      </w:pPr>
      <w:r w:rsidRPr="00C46AFC">
        <w:rPr>
          <w:lang w:val="en-GB"/>
        </w:rPr>
        <w:t xml:space="preserve">The methodology </w:t>
      </w:r>
      <w:r w:rsidR="00D322B2">
        <w:rPr>
          <w:lang w:val="en-GB"/>
        </w:rPr>
        <w:t>described</w:t>
      </w:r>
      <w:r w:rsidR="00D322B2" w:rsidRPr="00C46AFC">
        <w:rPr>
          <w:lang w:val="en-GB"/>
        </w:rPr>
        <w:t xml:space="preserve"> </w:t>
      </w:r>
      <w:r w:rsidRPr="00C46AFC">
        <w:rPr>
          <w:lang w:val="en-GB"/>
        </w:rPr>
        <w:t xml:space="preserve">in </w:t>
      </w:r>
      <w:r w:rsidR="00D322B2" w:rsidRPr="00C46AFC">
        <w:rPr>
          <w:lang w:val="en-GB"/>
        </w:rPr>
        <w:t>th</w:t>
      </w:r>
      <w:r w:rsidR="00D322B2">
        <w:rPr>
          <w:lang w:val="en-GB"/>
        </w:rPr>
        <w:t>is</w:t>
      </w:r>
      <w:r w:rsidRPr="00C46AFC">
        <w:rPr>
          <w:lang w:val="en-GB"/>
        </w:rPr>
        <w:t xml:space="preserve"> deliverable </w:t>
      </w:r>
      <w:r w:rsidR="000D641F">
        <w:rPr>
          <w:lang w:val="en-GB"/>
        </w:rPr>
        <w:t>provides</w:t>
      </w:r>
      <w:r w:rsidRPr="00C46AFC">
        <w:rPr>
          <w:lang w:val="en-GB"/>
        </w:rPr>
        <w:t xml:space="preserve"> the reader with a sense of the extensive work that went into the COA redesign process and shed</w:t>
      </w:r>
      <w:r w:rsidR="00CD2510">
        <w:rPr>
          <w:lang w:val="en-GB"/>
        </w:rPr>
        <w:t>s</w:t>
      </w:r>
      <w:r w:rsidRPr="00C46AFC">
        <w:rPr>
          <w:lang w:val="en-GB"/>
        </w:rPr>
        <w:t xml:space="preserve"> light on the discussions, considerations, and rationale that went into the final COA dimension structure.</w:t>
      </w:r>
      <w:r w:rsidR="009754F7">
        <w:rPr>
          <w:lang w:val="en-GB"/>
        </w:rPr>
        <w:t xml:space="preserve"> </w:t>
      </w:r>
      <w:r w:rsidR="00253FB1">
        <w:rPr>
          <w:lang w:val="en-GB"/>
        </w:rPr>
        <w:t>When</w:t>
      </w:r>
      <w:r w:rsidR="00253FB1" w:rsidRPr="00C46AFC">
        <w:rPr>
          <w:lang w:val="en-GB"/>
        </w:rPr>
        <w:t xml:space="preserve"> </w:t>
      </w:r>
      <w:r w:rsidRPr="00C46AFC">
        <w:rPr>
          <w:lang w:val="en-GB"/>
        </w:rPr>
        <w:t>relevant, the document include</w:t>
      </w:r>
      <w:r>
        <w:rPr>
          <w:lang w:val="en-GB"/>
        </w:rPr>
        <w:t>s</w:t>
      </w:r>
      <w:r w:rsidRPr="00C46AFC">
        <w:rPr>
          <w:lang w:val="en-GB"/>
        </w:rPr>
        <w:t xml:space="preserve"> details where decision points led to a </w:t>
      </w:r>
      <w:r w:rsidR="002A3EEF">
        <w:rPr>
          <w:lang w:val="en-GB"/>
        </w:rPr>
        <w:t>COA Redesign W</w:t>
      </w:r>
      <w:r w:rsidRPr="00C46AFC">
        <w:rPr>
          <w:lang w:val="en-GB"/>
        </w:rPr>
        <w:t xml:space="preserve">orkgroup decision or </w:t>
      </w:r>
      <w:r w:rsidR="007F3A6D">
        <w:rPr>
          <w:lang w:val="en-GB"/>
        </w:rPr>
        <w:t>software</w:t>
      </w:r>
      <w:r w:rsidRPr="00C46AFC">
        <w:rPr>
          <w:lang w:val="en-GB"/>
        </w:rPr>
        <w:t xml:space="preserve"> limitations drove an outcome.</w:t>
      </w:r>
    </w:p>
    <w:p w14:paraId="1464054B" w14:textId="77777777" w:rsidR="00BA2DC6" w:rsidRDefault="00BA2DC6" w:rsidP="00270473">
      <w:pPr>
        <w:pStyle w:val="Heading2"/>
      </w:pPr>
      <w:bookmarkStart w:id="14" w:name="_Toc68532147"/>
      <w:r>
        <w:t>Intended Use of Deliverable</w:t>
      </w:r>
      <w:bookmarkEnd w:id="14"/>
    </w:p>
    <w:p w14:paraId="5C2BCADD" w14:textId="161209D6" w:rsidR="0038769C" w:rsidRPr="0038769C" w:rsidRDefault="0038769C" w:rsidP="0038769C">
      <w:pPr>
        <w:pStyle w:val="Bodycopy"/>
        <w:rPr>
          <w:lang w:val="en-GB"/>
        </w:rPr>
      </w:pPr>
      <w:r w:rsidRPr="0038769C">
        <w:rPr>
          <w:lang w:val="en-GB"/>
        </w:rPr>
        <w:t>This deliverable</w:t>
      </w:r>
      <w:r w:rsidR="000D641F">
        <w:rPr>
          <w:lang w:val="en-GB"/>
        </w:rPr>
        <w:t xml:space="preserve"> provides </w:t>
      </w:r>
      <w:r w:rsidRPr="0038769C">
        <w:rPr>
          <w:lang w:val="en-GB"/>
        </w:rPr>
        <w:t xml:space="preserve">reasonable assurance to decision-makers and stakeholders that the methodology employed by the COA Redesign Workgroup was sound and that adequate consideration was given to issues that may impact the State of Idaho and its ability to conduct business, meet </w:t>
      </w:r>
      <w:r w:rsidR="00CD2510">
        <w:rPr>
          <w:lang w:val="en-GB"/>
        </w:rPr>
        <w:t>the State’s</w:t>
      </w:r>
      <w:r w:rsidR="00CD2510" w:rsidRPr="0038769C">
        <w:rPr>
          <w:lang w:val="en-GB"/>
        </w:rPr>
        <w:t xml:space="preserve"> </w:t>
      </w:r>
      <w:r w:rsidRPr="0038769C">
        <w:rPr>
          <w:lang w:val="en-GB"/>
        </w:rPr>
        <w:t>reporting obligations, and provide meaningful information to internal and external stakeholders.</w:t>
      </w:r>
    </w:p>
    <w:p w14:paraId="71B88AB0" w14:textId="77777777" w:rsidR="001700F8" w:rsidRDefault="001700F8" w:rsidP="0038769C">
      <w:pPr>
        <w:pStyle w:val="Bodycopy"/>
        <w:rPr>
          <w:lang w:val="en-GB"/>
        </w:rPr>
      </w:pPr>
    </w:p>
    <w:p w14:paraId="1712581B" w14:textId="056AEAA6" w:rsidR="0038769C" w:rsidRPr="0038769C" w:rsidRDefault="0038769C" w:rsidP="0038769C">
      <w:pPr>
        <w:pStyle w:val="Bodycopy"/>
        <w:rPr>
          <w:lang w:val="en-GB"/>
        </w:rPr>
      </w:pPr>
      <w:r w:rsidRPr="0038769C">
        <w:rPr>
          <w:lang w:val="en-GB"/>
        </w:rPr>
        <w:t>The intended audiences for this deliverable are:</w:t>
      </w:r>
    </w:p>
    <w:p w14:paraId="35CAB2CA" w14:textId="77777777" w:rsidR="0038769C" w:rsidRPr="0038769C" w:rsidRDefault="0038769C" w:rsidP="00CE6E16">
      <w:pPr>
        <w:pStyle w:val="Bodycopy"/>
        <w:numPr>
          <w:ilvl w:val="0"/>
          <w:numId w:val="34"/>
        </w:numPr>
        <w:ind w:left="720" w:hanging="360"/>
        <w:rPr>
          <w:lang w:val="en-GB"/>
        </w:rPr>
      </w:pPr>
      <w:r w:rsidRPr="0038769C">
        <w:rPr>
          <w:lang w:val="en-GB"/>
        </w:rPr>
        <w:t>Project Management Office.</w:t>
      </w:r>
    </w:p>
    <w:p w14:paraId="3C39C4F4" w14:textId="77777777" w:rsidR="0038769C" w:rsidRPr="0038769C" w:rsidRDefault="0038769C" w:rsidP="00CE6E16">
      <w:pPr>
        <w:pStyle w:val="Bodycopy"/>
        <w:numPr>
          <w:ilvl w:val="0"/>
          <w:numId w:val="34"/>
        </w:numPr>
        <w:ind w:left="720" w:hanging="360"/>
        <w:rPr>
          <w:lang w:val="en-GB"/>
        </w:rPr>
      </w:pPr>
      <w:r w:rsidRPr="0038769C">
        <w:rPr>
          <w:lang w:val="en-GB"/>
        </w:rPr>
        <w:t>Luma Functional Teams (Budget, Finance, Procurement, H</w:t>
      </w:r>
      <w:r w:rsidR="002A3EEF">
        <w:rPr>
          <w:lang w:val="en-GB"/>
        </w:rPr>
        <w:t xml:space="preserve">uman </w:t>
      </w:r>
      <w:r w:rsidRPr="0038769C">
        <w:rPr>
          <w:lang w:val="en-GB"/>
        </w:rPr>
        <w:t>R</w:t>
      </w:r>
      <w:r w:rsidR="002A3EEF">
        <w:rPr>
          <w:lang w:val="en-GB"/>
        </w:rPr>
        <w:t>esources</w:t>
      </w:r>
      <w:r w:rsidRPr="0038769C">
        <w:rPr>
          <w:lang w:val="en-GB"/>
        </w:rPr>
        <w:t>, and Payroll).</w:t>
      </w:r>
    </w:p>
    <w:p w14:paraId="0F4588C1" w14:textId="77777777" w:rsidR="0038769C" w:rsidRPr="0038769C" w:rsidRDefault="0038769C" w:rsidP="00CE6E16">
      <w:pPr>
        <w:pStyle w:val="Bodycopy"/>
        <w:numPr>
          <w:ilvl w:val="0"/>
          <w:numId w:val="34"/>
        </w:numPr>
        <w:ind w:left="720" w:hanging="360"/>
        <w:rPr>
          <w:lang w:val="en-GB"/>
        </w:rPr>
      </w:pPr>
      <w:r w:rsidRPr="0038769C">
        <w:rPr>
          <w:lang w:val="en-GB"/>
        </w:rPr>
        <w:t>Luma Technical Team Leads (CSC).</w:t>
      </w:r>
    </w:p>
    <w:p w14:paraId="799C0BDB" w14:textId="77777777" w:rsidR="0038769C" w:rsidRPr="0038769C" w:rsidRDefault="0038769C" w:rsidP="00CE6E16">
      <w:pPr>
        <w:pStyle w:val="Bodycopy"/>
        <w:numPr>
          <w:ilvl w:val="0"/>
          <w:numId w:val="34"/>
        </w:numPr>
        <w:ind w:left="720" w:hanging="360"/>
        <w:rPr>
          <w:lang w:val="en-GB"/>
        </w:rPr>
      </w:pPr>
      <w:r w:rsidRPr="0038769C">
        <w:rPr>
          <w:lang w:val="en-GB"/>
        </w:rPr>
        <w:t xml:space="preserve">Division of </w:t>
      </w:r>
      <w:proofErr w:type="spellStart"/>
      <w:r w:rsidRPr="0038769C">
        <w:rPr>
          <w:lang w:val="en-GB"/>
        </w:rPr>
        <w:t>Statewide</w:t>
      </w:r>
      <w:proofErr w:type="spellEnd"/>
      <w:r w:rsidRPr="0038769C">
        <w:rPr>
          <w:lang w:val="en-GB"/>
        </w:rPr>
        <w:t xml:space="preserve"> Accounting.</w:t>
      </w:r>
    </w:p>
    <w:p w14:paraId="727FD627" w14:textId="77777777" w:rsidR="0038769C" w:rsidRPr="0038769C" w:rsidRDefault="0038769C" w:rsidP="00CE6E16">
      <w:pPr>
        <w:pStyle w:val="Bodycopy"/>
        <w:numPr>
          <w:ilvl w:val="0"/>
          <w:numId w:val="34"/>
        </w:numPr>
        <w:ind w:left="720" w:hanging="360"/>
        <w:rPr>
          <w:lang w:val="en-GB"/>
        </w:rPr>
      </w:pPr>
      <w:r w:rsidRPr="0038769C">
        <w:rPr>
          <w:lang w:val="en-GB"/>
        </w:rPr>
        <w:t>Fiscal Policy Advisory Committee.</w:t>
      </w:r>
    </w:p>
    <w:p w14:paraId="2D479147" w14:textId="77777777" w:rsidR="0038769C" w:rsidRPr="0038769C" w:rsidRDefault="0038769C" w:rsidP="00CE6E16">
      <w:pPr>
        <w:pStyle w:val="Bodycopy"/>
        <w:numPr>
          <w:ilvl w:val="0"/>
          <w:numId w:val="34"/>
        </w:numPr>
        <w:ind w:left="720" w:hanging="360"/>
        <w:rPr>
          <w:lang w:val="en-GB"/>
        </w:rPr>
      </w:pPr>
      <w:r w:rsidRPr="0038769C">
        <w:rPr>
          <w:lang w:val="en-GB"/>
        </w:rPr>
        <w:t xml:space="preserve">Luma Governance Board. </w:t>
      </w:r>
    </w:p>
    <w:p w14:paraId="2D9D150E" w14:textId="321432F5" w:rsidR="00964FA5" w:rsidRDefault="0038769C" w:rsidP="00CE6E16">
      <w:pPr>
        <w:pStyle w:val="Bodycopy"/>
        <w:numPr>
          <w:ilvl w:val="0"/>
          <w:numId w:val="34"/>
        </w:numPr>
        <w:ind w:left="720" w:hanging="360"/>
        <w:rPr>
          <w:lang w:val="en-GB"/>
        </w:rPr>
      </w:pPr>
      <w:r w:rsidRPr="0038769C">
        <w:rPr>
          <w:lang w:val="en-GB"/>
        </w:rPr>
        <w:lastRenderedPageBreak/>
        <w:t>State Financial Management Stakeholders.</w:t>
      </w:r>
    </w:p>
    <w:p w14:paraId="4BF3BE5D" w14:textId="6C91683F" w:rsidR="00A11B44" w:rsidRPr="00964FA5" w:rsidRDefault="00A11B44" w:rsidP="00CE6E16">
      <w:pPr>
        <w:pStyle w:val="Bodycopy"/>
        <w:numPr>
          <w:ilvl w:val="0"/>
          <w:numId w:val="34"/>
        </w:numPr>
        <w:ind w:left="720" w:hanging="360"/>
        <w:rPr>
          <w:lang w:val="en-GB"/>
        </w:rPr>
      </w:pPr>
      <w:r>
        <w:rPr>
          <w:lang w:val="en-GB"/>
        </w:rPr>
        <w:t xml:space="preserve">State Agencies Accounting and Fiscal </w:t>
      </w:r>
      <w:r w:rsidR="00E0617B">
        <w:rPr>
          <w:lang w:val="en-GB"/>
        </w:rPr>
        <w:t>S</w:t>
      </w:r>
      <w:r>
        <w:rPr>
          <w:lang w:val="en-GB"/>
        </w:rPr>
        <w:t>taff.</w:t>
      </w:r>
    </w:p>
    <w:p w14:paraId="7E3D7FC4" w14:textId="77777777" w:rsidR="00BA2DC6" w:rsidRPr="00741EA8" w:rsidRDefault="00BA2DC6" w:rsidP="00BA2DC6">
      <w:pPr>
        <w:pStyle w:val="Heading1"/>
      </w:pPr>
      <w:bookmarkStart w:id="15" w:name="_Toc68532148"/>
      <w:r>
        <w:lastRenderedPageBreak/>
        <w:t xml:space="preserve">Overview of the </w:t>
      </w:r>
      <w:r w:rsidR="00674DF4">
        <w:t>Chart of Accounts</w:t>
      </w:r>
      <w:r>
        <w:t xml:space="preserve"> Development Process</w:t>
      </w:r>
      <w:bookmarkEnd w:id="15"/>
    </w:p>
    <w:p w14:paraId="185B7F90" w14:textId="77777777" w:rsidR="00BA2DC6" w:rsidRDefault="00BA2DC6" w:rsidP="00270473">
      <w:pPr>
        <w:pStyle w:val="Heading2"/>
      </w:pPr>
      <w:bookmarkStart w:id="16" w:name="_Toc68532149"/>
      <w:r>
        <w:t>COA Workgroup Charter</w:t>
      </w:r>
      <w:bookmarkEnd w:id="16"/>
    </w:p>
    <w:p w14:paraId="09396672" w14:textId="77777777" w:rsidR="009754F7" w:rsidRPr="00DF638C" w:rsidRDefault="009754F7" w:rsidP="009754F7">
      <w:pPr>
        <w:rPr>
          <w:b/>
          <w:bCs/>
        </w:rPr>
      </w:pPr>
      <w:r w:rsidRPr="00DF638C">
        <w:rPr>
          <w:b/>
          <w:bCs/>
        </w:rPr>
        <w:t xml:space="preserve">State of Idaho </w:t>
      </w:r>
      <w:r w:rsidR="00674DF4">
        <w:rPr>
          <w:b/>
          <w:bCs/>
        </w:rPr>
        <w:t>Chart of Accounts</w:t>
      </w:r>
      <w:r w:rsidRPr="00DF638C">
        <w:rPr>
          <w:b/>
          <w:bCs/>
        </w:rPr>
        <w:t xml:space="preserve"> Redesign Project</w:t>
      </w:r>
    </w:p>
    <w:p w14:paraId="7A1BE08D" w14:textId="77777777" w:rsidR="009754F7" w:rsidRDefault="009754F7" w:rsidP="009754F7">
      <w:pPr>
        <w:spacing w:after="120"/>
      </w:pPr>
      <w:r>
        <w:t>The State of Idaho, in preparation for the implementation of its next-generation ERP system</w:t>
      </w:r>
      <w:r w:rsidR="00BD3990">
        <w:t xml:space="preserve"> (Luma)</w:t>
      </w:r>
      <w:r>
        <w:t xml:space="preserve"> has chosen to redesign its </w:t>
      </w:r>
      <w:r w:rsidR="00674DF4">
        <w:t>Chart of Accounts</w:t>
      </w:r>
      <w:r>
        <w:t xml:space="preserve"> (COA). Redesigning Idaho’s </w:t>
      </w:r>
      <w:r w:rsidR="00674DF4">
        <w:t>Chart of Accounts</w:t>
      </w:r>
      <w:r>
        <w:t xml:space="preserve"> is one of the most strategically important actions the State will take in preparing the ground</w:t>
      </w:r>
      <w:r w:rsidR="00BD3990">
        <w:t>work</w:t>
      </w:r>
      <w:r>
        <w:t xml:space="preserve"> for Luma. The redesign of the </w:t>
      </w:r>
      <w:r w:rsidR="00674DF4">
        <w:t>Chart of Accounts</w:t>
      </w:r>
      <w:r>
        <w:t xml:space="preserve"> will be based on leading practices in government and business. In addition, the new </w:t>
      </w:r>
      <w:r w:rsidR="00674DF4">
        <w:t>Chart of Accounts</w:t>
      </w:r>
      <w:r>
        <w:t xml:space="preserve"> will be designed in advance of the implementation of </w:t>
      </w:r>
      <w:r w:rsidR="00BD3990">
        <w:t>Luma</w:t>
      </w:r>
      <w:r>
        <w:t xml:space="preserve"> to help ensure that it, first and foremost, serves Idaho’s strategic purposes. Beginning the redesign of the COA before the implementation of the Luma system will help to make sure the implementation is completed in a timely manner.</w:t>
      </w:r>
    </w:p>
    <w:p w14:paraId="1A8289D2" w14:textId="77777777" w:rsidR="009754F7" w:rsidRDefault="009754F7" w:rsidP="009754F7">
      <w:pPr>
        <w:spacing w:after="120"/>
      </w:pPr>
      <w:r>
        <w:t xml:space="preserve">Idaho’s </w:t>
      </w:r>
      <w:r w:rsidR="00674DF4">
        <w:t>Chart of Accounts</w:t>
      </w:r>
      <w:r>
        <w:t xml:space="preserve"> redesign project seeks to:</w:t>
      </w:r>
    </w:p>
    <w:p w14:paraId="1CEDF5DD" w14:textId="77777777" w:rsidR="009754F7" w:rsidRDefault="009754F7" w:rsidP="00CE6E16">
      <w:pPr>
        <w:pStyle w:val="ListParagraph"/>
        <w:numPr>
          <w:ilvl w:val="0"/>
          <w:numId w:val="36"/>
        </w:numPr>
        <w:spacing w:after="120" w:line="259" w:lineRule="auto"/>
        <w:ind w:hanging="360"/>
        <w:contextualSpacing w:val="0"/>
      </w:pPr>
      <w:r>
        <w:t>Emphasize simplicity, expandability, and flexibility for the life of the system.</w:t>
      </w:r>
    </w:p>
    <w:p w14:paraId="6FFDD814" w14:textId="77777777" w:rsidR="009754F7" w:rsidRDefault="009754F7" w:rsidP="00CE6E16">
      <w:pPr>
        <w:pStyle w:val="ListParagraph"/>
        <w:numPr>
          <w:ilvl w:val="0"/>
          <w:numId w:val="36"/>
        </w:numPr>
        <w:spacing w:after="120" w:line="259" w:lineRule="auto"/>
        <w:ind w:hanging="360"/>
        <w:contextualSpacing w:val="0"/>
      </w:pPr>
      <w:r>
        <w:t>Manage operations and provide services to its citizens.</w:t>
      </w:r>
    </w:p>
    <w:p w14:paraId="78576B54" w14:textId="77777777" w:rsidR="009754F7" w:rsidRDefault="009754F7" w:rsidP="00CE6E16">
      <w:pPr>
        <w:pStyle w:val="ListParagraph"/>
        <w:numPr>
          <w:ilvl w:val="0"/>
          <w:numId w:val="36"/>
        </w:numPr>
        <w:spacing w:after="120" w:line="259" w:lineRule="auto"/>
        <w:ind w:hanging="360"/>
        <w:contextualSpacing w:val="0"/>
      </w:pPr>
      <w:r>
        <w:t>Deliver a wide variety</w:t>
      </w:r>
      <w:r w:rsidR="00950D05">
        <w:t xml:space="preserve"> of</w:t>
      </w:r>
      <w:r>
        <w:t xml:space="preserve"> financial and nonfinancial reporting.</w:t>
      </w:r>
    </w:p>
    <w:p w14:paraId="4CBD5D4A" w14:textId="77777777" w:rsidR="009754F7" w:rsidRDefault="009754F7" w:rsidP="00CE6E16">
      <w:pPr>
        <w:pStyle w:val="ListParagraph"/>
        <w:numPr>
          <w:ilvl w:val="0"/>
          <w:numId w:val="36"/>
        </w:numPr>
        <w:spacing w:after="120" w:line="259" w:lineRule="auto"/>
        <w:ind w:hanging="360"/>
        <w:contextualSpacing w:val="0"/>
      </w:pPr>
      <w:r>
        <w:t>Capture financial data at a meaningful level of detail to assist agencies in managing financial resources.</w:t>
      </w:r>
    </w:p>
    <w:p w14:paraId="17B0CFC1" w14:textId="77777777" w:rsidR="009754F7" w:rsidRDefault="009754F7" w:rsidP="00CE6E16">
      <w:pPr>
        <w:pStyle w:val="ListParagraph"/>
        <w:numPr>
          <w:ilvl w:val="0"/>
          <w:numId w:val="36"/>
        </w:numPr>
        <w:spacing w:after="120" w:line="259" w:lineRule="auto"/>
        <w:ind w:hanging="360"/>
        <w:contextualSpacing w:val="0"/>
      </w:pPr>
      <w:r>
        <w:t>Meet the needs of both the State’s central control and operating agencies.</w:t>
      </w:r>
    </w:p>
    <w:p w14:paraId="751ED9DB" w14:textId="77777777" w:rsidR="009754F7" w:rsidRDefault="009754F7" w:rsidP="009754F7">
      <w:pPr>
        <w:spacing w:after="120"/>
      </w:pPr>
      <w:r>
        <w:t xml:space="preserve">The approach that will be used to develop the new COA design for Idaho will include the following activities. </w:t>
      </w:r>
    </w:p>
    <w:p w14:paraId="3B988FFC" w14:textId="77777777" w:rsidR="009754F7" w:rsidRDefault="00674DF4" w:rsidP="00CE6E16">
      <w:pPr>
        <w:pStyle w:val="ListParagraph"/>
        <w:numPr>
          <w:ilvl w:val="0"/>
          <w:numId w:val="35"/>
        </w:numPr>
        <w:spacing w:after="120" w:line="259" w:lineRule="auto"/>
        <w:contextualSpacing w:val="0"/>
      </w:pPr>
      <w:r>
        <w:rPr>
          <w:u w:val="single"/>
        </w:rPr>
        <w:t>Chart of Accounts</w:t>
      </w:r>
      <w:r w:rsidR="009754F7" w:rsidRPr="009555DB">
        <w:rPr>
          <w:u w:val="single"/>
        </w:rPr>
        <w:t xml:space="preserve"> Redesign Workgroup</w:t>
      </w:r>
      <w:r w:rsidR="009754F7">
        <w:t xml:space="preserve"> </w:t>
      </w:r>
      <w:r w:rsidR="006F4BAA">
        <w:t>-</w:t>
      </w:r>
      <w:r w:rsidR="009754F7">
        <w:t xml:space="preserve"> The workgroup will include individuals from multiple State agencies selected by the Luma </w:t>
      </w:r>
      <w:r w:rsidR="00D3106F">
        <w:t>Project Management Office (</w:t>
      </w:r>
      <w:r w:rsidR="009754F7">
        <w:t>PMO</w:t>
      </w:r>
      <w:r w:rsidR="00D3106F">
        <w:t>)</w:t>
      </w:r>
      <w:r w:rsidR="009754F7">
        <w:t xml:space="preserve"> to participate in the workgroup</w:t>
      </w:r>
      <w:r w:rsidR="009754F7" w:rsidRPr="3C6F966B">
        <w:t>.</w:t>
      </w:r>
      <w:r w:rsidR="009754F7">
        <w:t xml:space="preserve"> </w:t>
      </w:r>
    </w:p>
    <w:p w14:paraId="66D87FE6" w14:textId="77777777" w:rsidR="009754F7" w:rsidRDefault="009754F7" w:rsidP="00CE6E16">
      <w:pPr>
        <w:pStyle w:val="ListParagraph"/>
        <w:numPr>
          <w:ilvl w:val="0"/>
          <w:numId w:val="35"/>
        </w:numPr>
        <w:spacing w:after="120" w:line="259" w:lineRule="auto"/>
        <w:contextualSpacing w:val="0"/>
      </w:pPr>
      <w:r>
        <w:rPr>
          <w:u w:val="single"/>
        </w:rPr>
        <w:t xml:space="preserve">Survey Key State Agencies </w:t>
      </w:r>
      <w:r w:rsidRPr="009555DB">
        <w:t>-</w:t>
      </w:r>
      <w:r>
        <w:t xml:space="preserve"> The survey will capture information about the State’s current COA and its actual use by agencies. It will include questions about “pain points” for agencies regarding the existing COA. If necessary, follow up interviews will be conducted with State agencies to gather additional insights about “pain points”.</w:t>
      </w:r>
    </w:p>
    <w:p w14:paraId="1AAF9417" w14:textId="0DC0DC4A" w:rsidR="009754F7" w:rsidRDefault="009754F7" w:rsidP="00CE6E16">
      <w:pPr>
        <w:pStyle w:val="ListParagraph"/>
        <w:numPr>
          <w:ilvl w:val="0"/>
          <w:numId w:val="35"/>
        </w:numPr>
        <w:spacing w:after="120" w:line="259" w:lineRule="auto"/>
        <w:contextualSpacing w:val="0"/>
      </w:pPr>
      <w:r>
        <w:rPr>
          <w:u w:val="single"/>
        </w:rPr>
        <w:t>Request Feedback</w:t>
      </w:r>
      <w:r w:rsidRPr="00E02267">
        <w:rPr>
          <w:u w:val="single"/>
        </w:rPr>
        <w:t xml:space="preserve"> from </w:t>
      </w:r>
      <w:r>
        <w:rPr>
          <w:u w:val="single"/>
        </w:rPr>
        <w:t>Selected Software Vendor and I</w:t>
      </w:r>
      <w:r w:rsidRPr="00E02267">
        <w:rPr>
          <w:u w:val="single"/>
        </w:rPr>
        <w:t xml:space="preserve">ntegrator on COA </w:t>
      </w:r>
      <w:r w:rsidR="00D578FD">
        <w:rPr>
          <w:u w:val="single"/>
        </w:rPr>
        <w:t>D</w:t>
      </w:r>
      <w:r w:rsidRPr="00E02267">
        <w:rPr>
          <w:u w:val="single"/>
        </w:rPr>
        <w:t>esign Best Practices</w:t>
      </w:r>
      <w:r>
        <w:t xml:space="preserve"> Present the</w:t>
      </w:r>
      <w:r w:rsidR="0086383E">
        <w:t xml:space="preserve"> </w:t>
      </w:r>
      <w:r>
        <w:t xml:space="preserve">software vendor and integrator with information provided by key State agencies and request feedback on the proposed COA design and </w:t>
      </w:r>
      <w:r w:rsidR="002F05E5">
        <w:t>its</w:t>
      </w:r>
      <w:r>
        <w:t xml:space="preserve"> compatibility with their products.</w:t>
      </w:r>
    </w:p>
    <w:p w14:paraId="5CD101A8" w14:textId="77777777" w:rsidR="009754F7" w:rsidRPr="006F4BAA" w:rsidRDefault="009754F7" w:rsidP="006F4BAA">
      <w:pPr>
        <w:pStyle w:val="ListParagraph"/>
        <w:numPr>
          <w:ilvl w:val="0"/>
          <w:numId w:val="35"/>
        </w:numPr>
        <w:spacing w:after="120" w:line="259" w:lineRule="auto"/>
        <w:contextualSpacing w:val="0"/>
      </w:pPr>
      <w:r w:rsidRPr="006F4BAA">
        <w:rPr>
          <w:u w:val="single"/>
        </w:rPr>
        <w:t xml:space="preserve">Develop COA Governance Model and Maintenance Process </w:t>
      </w:r>
      <w:r w:rsidRPr="0005049F">
        <w:t>-</w:t>
      </w:r>
      <w:r>
        <w:t xml:space="preserve"> A new COA governance model and maintenance process will be developed and reviewed by the Luma </w:t>
      </w:r>
      <w:r w:rsidR="006F4BAA">
        <w:t>G</w:t>
      </w:r>
      <w:r>
        <w:t xml:space="preserve">overnance </w:t>
      </w:r>
      <w:r w:rsidR="006F4BAA">
        <w:t>B</w:t>
      </w:r>
      <w:r>
        <w:t xml:space="preserve">oard. </w:t>
      </w:r>
      <w:r w:rsidR="006F4BAA" w:rsidRPr="006F4BAA">
        <w:t>COA review considerations include: standardization, consistency of use across agencies, alignment with industry best practices, and flexibility to meet agency requirements.</w:t>
      </w:r>
    </w:p>
    <w:p w14:paraId="593978ED" w14:textId="77777777" w:rsidR="009754F7" w:rsidRPr="009754F7" w:rsidRDefault="009754F7" w:rsidP="00CE6E16">
      <w:pPr>
        <w:pStyle w:val="ListParagraph"/>
        <w:numPr>
          <w:ilvl w:val="0"/>
          <w:numId w:val="35"/>
        </w:numPr>
        <w:spacing w:after="120" w:line="259" w:lineRule="auto"/>
        <w:contextualSpacing w:val="0"/>
      </w:pPr>
      <w:r>
        <w:rPr>
          <w:u w:val="single"/>
        </w:rPr>
        <w:t xml:space="preserve">Develop Final COA Design Report </w:t>
      </w:r>
      <w:r w:rsidR="006F4BAA">
        <w:t>-</w:t>
      </w:r>
      <w:r>
        <w:t xml:space="preserve"> The final COA design report will present the redesigned COA structural elements and governance approach proposed by the State.</w:t>
      </w:r>
      <w:r w:rsidR="006F4BAA">
        <w:t xml:space="preserve"> Additionally, it will include an overview of the rationale of the COA development.</w:t>
      </w:r>
    </w:p>
    <w:p w14:paraId="0CE0EF59" w14:textId="77777777" w:rsidR="00310E32" w:rsidRDefault="00FC7F01" w:rsidP="00270473">
      <w:pPr>
        <w:pStyle w:val="Heading2"/>
      </w:pPr>
      <w:bookmarkStart w:id="17" w:name="_Toc291680983"/>
      <w:bookmarkStart w:id="18" w:name="_Toc291785419"/>
      <w:bookmarkStart w:id="19" w:name="_Toc291834915"/>
      <w:bookmarkStart w:id="20" w:name="_Toc289722148"/>
      <w:bookmarkStart w:id="21" w:name="_Toc289722993"/>
      <w:bookmarkStart w:id="22" w:name="_Toc289723176"/>
      <w:bookmarkStart w:id="23" w:name="_Toc289723626"/>
      <w:bookmarkStart w:id="24" w:name="_Toc291680986"/>
      <w:bookmarkStart w:id="25" w:name="_Toc291785422"/>
      <w:bookmarkStart w:id="26" w:name="_Toc291834918"/>
      <w:bookmarkStart w:id="27" w:name="_Toc306269561"/>
      <w:bookmarkStart w:id="28" w:name="_Toc306269562"/>
      <w:bookmarkStart w:id="29" w:name="_Toc306269563"/>
      <w:bookmarkStart w:id="30" w:name="_Toc306269564"/>
      <w:bookmarkStart w:id="31" w:name="_Toc306269565"/>
      <w:bookmarkStart w:id="32" w:name="_Toc306269566"/>
      <w:bookmarkStart w:id="33" w:name="_Toc306269567"/>
      <w:bookmarkStart w:id="34" w:name="_Toc306013137"/>
      <w:bookmarkStart w:id="35" w:name="_Toc306088013"/>
      <w:bookmarkStart w:id="36" w:name="_Toc306115571"/>
      <w:bookmarkStart w:id="37" w:name="_Toc306179688"/>
      <w:bookmarkStart w:id="38" w:name="_Toc306188896"/>
      <w:bookmarkStart w:id="39" w:name="_Toc306218258"/>
      <w:bookmarkStart w:id="40" w:name="_Toc306269568"/>
      <w:bookmarkStart w:id="41" w:name="_Toc306013138"/>
      <w:bookmarkStart w:id="42" w:name="_Toc306088014"/>
      <w:bookmarkStart w:id="43" w:name="_Toc306115572"/>
      <w:bookmarkStart w:id="44" w:name="_Toc306179689"/>
      <w:bookmarkStart w:id="45" w:name="_Toc306188897"/>
      <w:bookmarkStart w:id="46" w:name="_Toc306218259"/>
      <w:bookmarkStart w:id="47" w:name="_Toc306269569"/>
      <w:bookmarkStart w:id="48" w:name="_Toc306013139"/>
      <w:bookmarkStart w:id="49" w:name="_Toc306088015"/>
      <w:bookmarkStart w:id="50" w:name="_Toc306115573"/>
      <w:bookmarkStart w:id="51" w:name="_Toc306179690"/>
      <w:bookmarkStart w:id="52" w:name="_Toc306188898"/>
      <w:bookmarkStart w:id="53" w:name="_Toc306218260"/>
      <w:bookmarkStart w:id="54" w:name="_Toc306269570"/>
      <w:bookmarkStart w:id="55" w:name="_Toc68532150"/>
      <w:bookmarkEnd w:id="8"/>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COA Redesign Timeline</w:t>
      </w:r>
      <w:bookmarkEnd w:id="55"/>
    </w:p>
    <w:p w14:paraId="2C4AD53E" w14:textId="77777777" w:rsidR="00EB0BBB" w:rsidRPr="00EB0BBB" w:rsidRDefault="00EB0BBB" w:rsidP="00EB0BBB">
      <w:pPr>
        <w:pStyle w:val="Instructions"/>
        <w:rPr>
          <w:rFonts w:cs="Arial"/>
          <w:color w:val="auto"/>
          <w:szCs w:val="22"/>
          <w:u w:val="single"/>
        </w:rPr>
      </w:pPr>
      <w:r w:rsidRPr="00EB0BBB">
        <w:rPr>
          <w:rFonts w:cs="Arial"/>
          <w:color w:val="auto"/>
          <w:szCs w:val="22"/>
          <w:u w:val="single"/>
        </w:rPr>
        <w:t>Timeline Overview</w:t>
      </w:r>
      <w:r w:rsidR="00AD3039">
        <w:rPr>
          <w:rFonts w:cs="Arial"/>
          <w:color w:val="auto"/>
          <w:szCs w:val="22"/>
          <w:u w:val="single"/>
        </w:rPr>
        <w:t xml:space="preserve">: </w:t>
      </w:r>
      <w:r w:rsidRPr="00EB0BBB">
        <w:rPr>
          <w:rFonts w:cs="Arial"/>
          <w:color w:val="auto"/>
          <w:szCs w:val="22"/>
          <w:u w:val="single"/>
        </w:rPr>
        <w:t xml:space="preserve">2014 to </w:t>
      </w:r>
      <w:r w:rsidR="00370818">
        <w:rPr>
          <w:rFonts w:cs="Arial"/>
          <w:color w:val="auto"/>
          <w:szCs w:val="22"/>
          <w:u w:val="single"/>
        </w:rPr>
        <w:t>July</w:t>
      </w:r>
      <w:r w:rsidR="0003074D">
        <w:rPr>
          <w:rFonts w:cs="Arial"/>
          <w:color w:val="auto"/>
          <w:szCs w:val="22"/>
          <w:u w:val="single"/>
        </w:rPr>
        <w:t xml:space="preserve"> 2019</w:t>
      </w:r>
    </w:p>
    <w:p w14:paraId="4DE36FEF" w14:textId="77777777" w:rsidR="00E95AFF" w:rsidRPr="00370818" w:rsidRDefault="00EB0BBB" w:rsidP="00370818">
      <w:pPr>
        <w:pStyle w:val="Instructions"/>
        <w:rPr>
          <w:rFonts w:cs="Arial"/>
          <w:color w:val="auto"/>
          <w:szCs w:val="22"/>
        </w:rPr>
      </w:pPr>
      <w:r w:rsidRPr="00EB0BBB">
        <w:rPr>
          <w:rFonts w:cs="Arial"/>
          <w:color w:val="auto"/>
          <w:szCs w:val="22"/>
        </w:rPr>
        <w:t>In 2014, recognizing the risks associated with Idaho’s aging business systems, the State of Idaho</w:t>
      </w:r>
      <w:r w:rsidR="005D7A00">
        <w:rPr>
          <w:rFonts w:cs="Arial"/>
          <w:color w:val="auto"/>
          <w:szCs w:val="22"/>
        </w:rPr>
        <w:t>,</w:t>
      </w:r>
      <w:r w:rsidRPr="00EB0BBB">
        <w:rPr>
          <w:rFonts w:cs="Arial"/>
          <w:color w:val="auto"/>
          <w:szCs w:val="22"/>
        </w:rPr>
        <w:t xml:space="preserve"> Office of the State Controller (SCO) embarked on a journey to replace its legacy Employee Information System </w:t>
      </w:r>
      <w:r w:rsidRPr="00EB0BBB">
        <w:rPr>
          <w:rFonts w:cs="Arial"/>
          <w:color w:val="auto"/>
          <w:szCs w:val="22"/>
        </w:rPr>
        <w:lastRenderedPageBreak/>
        <w:t>(EIS) and Statewide Accounting and Reporting System (STARS)</w:t>
      </w:r>
      <w:r w:rsidR="00746B14">
        <w:rPr>
          <w:rFonts w:cs="Arial"/>
          <w:color w:val="auto"/>
          <w:szCs w:val="22"/>
        </w:rPr>
        <w:t xml:space="preserve">, </w:t>
      </w:r>
      <w:r w:rsidR="00A90D06">
        <w:rPr>
          <w:rFonts w:cs="Arial"/>
          <w:color w:val="auto"/>
          <w:szCs w:val="22"/>
        </w:rPr>
        <w:t xml:space="preserve">with a new system </w:t>
      </w:r>
      <w:r w:rsidRPr="00EB0BBB">
        <w:rPr>
          <w:rFonts w:cs="Arial"/>
          <w:color w:val="auto"/>
          <w:szCs w:val="22"/>
        </w:rPr>
        <w:t xml:space="preserve">known as </w:t>
      </w:r>
      <w:r w:rsidR="00EC3B20">
        <w:rPr>
          <w:rFonts w:cs="Arial"/>
          <w:color w:val="auto"/>
          <w:szCs w:val="22"/>
        </w:rPr>
        <w:t>Luma</w:t>
      </w:r>
      <w:r w:rsidR="00AD3039">
        <w:rPr>
          <w:rFonts w:cs="Arial"/>
          <w:color w:val="auto"/>
          <w:szCs w:val="22"/>
        </w:rPr>
        <w:t xml:space="preserve">. </w:t>
      </w:r>
      <w:r w:rsidR="00370818">
        <w:rPr>
          <w:rFonts w:cs="Arial"/>
          <w:color w:val="auto"/>
          <w:szCs w:val="22"/>
        </w:rPr>
        <w:t>O</w:t>
      </w:r>
      <w:r w:rsidR="00F132B4">
        <w:rPr>
          <w:rFonts w:cs="Arial"/>
          <w:color w:val="auto"/>
          <w:szCs w:val="22"/>
        </w:rPr>
        <w:t>ver the next five years</w:t>
      </w:r>
      <w:r w:rsidR="00370818">
        <w:rPr>
          <w:rFonts w:cs="Arial"/>
          <w:color w:val="auto"/>
          <w:szCs w:val="22"/>
        </w:rPr>
        <w:t>,</w:t>
      </w:r>
      <w:r w:rsidR="00F132B4">
        <w:rPr>
          <w:rFonts w:cs="Arial"/>
          <w:color w:val="auto"/>
          <w:szCs w:val="22"/>
        </w:rPr>
        <w:t xml:space="preserve"> </w:t>
      </w:r>
      <w:r w:rsidRPr="00EB0BBB">
        <w:rPr>
          <w:rFonts w:cs="Arial"/>
          <w:color w:val="auto"/>
          <w:szCs w:val="22"/>
        </w:rPr>
        <w:t xml:space="preserve">through an extensive competitive bidding process, </w:t>
      </w:r>
      <w:r w:rsidR="00370818">
        <w:rPr>
          <w:rFonts w:cs="Arial"/>
          <w:color w:val="auto"/>
          <w:szCs w:val="22"/>
        </w:rPr>
        <w:t xml:space="preserve">the State </w:t>
      </w:r>
      <w:r w:rsidRPr="00EB0BBB">
        <w:rPr>
          <w:rFonts w:cs="Arial"/>
          <w:color w:val="auto"/>
          <w:szCs w:val="22"/>
        </w:rPr>
        <w:t xml:space="preserve">selected Information Services Group </w:t>
      </w:r>
      <w:r w:rsidR="00162D30">
        <w:rPr>
          <w:rFonts w:cs="Arial"/>
          <w:color w:val="auto"/>
          <w:szCs w:val="22"/>
        </w:rPr>
        <w:t>(ISG)</w:t>
      </w:r>
      <w:r w:rsidRPr="00EB0BBB">
        <w:rPr>
          <w:rFonts w:cs="Arial"/>
          <w:color w:val="auto"/>
          <w:szCs w:val="22"/>
        </w:rPr>
        <w:t xml:space="preserve"> to serve in an advisory role to the State, Infor CloudSuite as its Enterprise Resource Planning (ERP) software solution</w:t>
      </w:r>
      <w:r w:rsidR="0028439F">
        <w:rPr>
          <w:rFonts w:cs="Arial"/>
          <w:color w:val="auto"/>
          <w:szCs w:val="22"/>
        </w:rPr>
        <w:t>,</w:t>
      </w:r>
      <w:r w:rsidRPr="00EB0BBB">
        <w:rPr>
          <w:rFonts w:cs="Arial"/>
          <w:color w:val="auto"/>
          <w:szCs w:val="22"/>
        </w:rPr>
        <w:t xml:space="preserve"> Deloitte Consulting</w:t>
      </w:r>
      <w:r w:rsidR="00E4323A">
        <w:rPr>
          <w:rFonts w:cs="Arial"/>
          <w:color w:val="auto"/>
          <w:szCs w:val="22"/>
        </w:rPr>
        <w:t xml:space="preserve"> LLP</w:t>
      </w:r>
      <w:r w:rsidRPr="00EB0BBB">
        <w:rPr>
          <w:rFonts w:cs="Arial"/>
          <w:color w:val="auto"/>
          <w:szCs w:val="22"/>
        </w:rPr>
        <w:t xml:space="preserve"> as its software integration vendor</w:t>
      </w:r>
      <w:r w:rsidR="0028439F">
        <w:rPr>
          <w:rFonts w:cs="Arial"/>
          <w:color w:val="auto"/>
          <w:szCs w:val="22"/>
        </w:rPr>
        <w:t xml:space="preserve">, and Sherpa as the </w:t>
      </w:r>
      <w:r w:rsidR="008E65A7">
        <w:rPr>
          <w:rFonts w:cs="Arial"/>
          <w:color w:val="auto"/>
          <w:szCs w:val="22"/>
        </w:rPr>
        <w:t>budgeting module</w:t>
      </w:r>
      <w:r w:rsidR="00AD3039">
        <w:rPr>
          <w:rFonts w:cs="Arial"/>
          <w:color w:val="auto"/>
          <w:szCs w:val="22"/>
        </w:rPr>
        <w:t xml:space="preserve">. </w:t>
      </w:r>
    </w:p>
    <w:p w14:paraId="2949F772" w14:textId="77777777" w:rsidR="00EB0BBB" w:rsidRPr="00EB0BBB" w:rsidRDefault="00EB0BBB" w:rsidP="00EB0BBB">
      <w:pPr>
        <w:pStyle w:val="Instructions"/>
        <w:rPr>
          <w:rFonts w:cs="Arial"/>
          <w:color w:val="auto"/>
          <w:szCs w:val="22"/>
        </w:rPr>
      </w:pPr>
      <w:r w:rsidRPr="00EB0BBB">
        <w:rPr>
          <w:rFonts w:cs="Arial"/>
          <w:color w:val="auto"/>
          <w:szCs w:val="22"/>
          <w:u w:val="single"/>
        </w:rPr>
        <w:t>COA Redesign Workgroup Timeline</w:t>
      </w:r>
      <w:r w:rsidR="00AD3039">
        <w:rPr>
          <w:rFonts w:cs="Arial"/>
          <w:color w:val="auto"/>
          <w:szCs w:val="22"/>
          <w:u w:val="single"/>
        </w:rPr>
        <w:t xml:space="preserve">: </w:t>
      </w:r>
      <w:r w:rsidRPr="00EB0BBB">
        <w:rPr>
          <w:rFonts w:cs="Arial"/>
          <w:color w:val="auto"/>
          <w:szCs w:val="22"/>
          <w:u w:val="single"/>
        </w:rPr>
        <w:t xml:space="preserve">August 1, 2019 to February 12, 2020 </w:t>
      </w:r>
    </w:p>
    <w:p w14:paraId="15A69F2B" w14:textId="77777777" w:rsidR="00EB0BBB" w:rsidRPr="00EB0BBB" w:rsidRDefault="00370818" w:rsidP="00EB0BBB">
      <w:pPr>
        <w:pStyle w:val="Instructions"/>
        <w:rPr>
          <w:rFonts w:cs="Arial"/>
          <w:color w:val="auto"/>
          <w:szCs w:val="22"/>
        </w:rPr>
      </w:pPr>
      <w:r>
        <w:rPr>
          <w:rFonts w:cs="Arial"/>
          <w:color w:val="auto"/>
          <w:szCs w:val="22"/>
        </w:rPr>
        <w:t xml:space="preserve">The </w:t>
      </w:r>
      <w:r w:rsidRPr="00EB0BBB">
        <w:rPr>
          <w:rFonts w:cs="Arial"/>
          <w:color w:val="auto"/>
          <w:szCs w:val="22"/>
        </w:rPr>
        <w:t xml:space="preserve">SCO assembled a team of State employees representing a diverse cross-section of agencies to drive the COA redesign process, the backbone of </w:t>
      </w:r>
      <w:r>
        <w:rPr>
          <w:rFonts w:cs="Arial"/>
          <w:color w:val="auto"/>
          <w:szCs w:val="22"/>
        </w:rPr>
        <w:t xml:space="preserve">Luma. </w:t>
      </w:r>
      <w:r w:rsidRPr="00EB0BBB">
        <w:rPr>
          <w:rFonts w:cs="Arial"/>
          <w:color w:val="auto"/>
          <w:szCs w:val="22"/>
        </w:rPr>
        <w:t xml:space="preserve">This group was named the COA Redesign Workgroup. </w:t>
      </w:r>
      <w:r>
        <w:rPr>
          <w:rFonts w:cs="Arial"/>
          <w:color w:val="auto"/>
          <w:szCs w:val="22"/>
        </w:rPr>
        <w:t xml:space="preserve"> </w:t>
      </w:r>
      <w:r w:rsidR="00EB0BBB" w:rsidRPr="00EB0BBB">
        <w:rPr>
          <w:rFonts w:cs="Arial"/>
          <w:color w:val="auto"/>
          <w:szCs w:val="22"/>
        </w:rPr>
        <w:t xml:space="preserve">Between August 2019 and </w:t>
      </w:r>
      <w:r w:rsidR="00253FB1">
        <w:rPr>
          <w:rFonts w:cs="Arial"/>
          <w:color w:val="auto"/>
          <w:szCs w:val="22"/>
        </w:rPr>
        <w:t>February</w:t>
      </w:r>
      <w:r w:rsidR="00253FB1" w:rsidRPr="00EB0BBB">
        <w:rPr>
          <w:rFonts w:cs="Arial"/>
          <w:color w:val="auto"/>
          <w:szCs w:val="22"/>
        </w:rPr>
        <w:t xml:space="preserve"> </w:t>
      </w:r>
      <w:r w:rsidR="00EB0BBB" w:rsidRPr="00EB0BBB">
        <w:rPr>
          <w:rFonts w:cs="Arial"/>
          <w:color w:val="auto"/>
          <w:szCs w:val="22"/>
        </w:rPr>
        <w:t xml:space="preserve">2020, the COA Redesign Workgroup met nine times as part of </w:t>
      </w:r>
      <w:r w:rsidR="00E95AFF">
        <w:rPr>
          <w:rFonts w:cs="Arial"/>
          <w:color w:val="auto"/>
          <w:szCs w:val="22"/>
        </w:rPr>
        <w:t>the</w:t>
      </w:r>
      <w:r w:rsidR="00E95AFF" w:rsidRPr="00EB0BBB">
        <w:rPr>
          <w:rFonts w:cs="Arial"/>
          <w:color w:val="auto"/>
          <w:szCs w:val="22"/>
        </w:rPr>
        <w:t xml:space="preserve"> </w:t>
      </w:r>
      <w:r w:rsidR="00EB0BBB" w:rsidRPr="00EB0BBB">
        <w:rPr>
          <w:rFonts w:cs="Arial"/>
          <w:color w:val="auto"/>
          <w:szCs w:val="22"/>
        </w:rPr>
        <w:t>COA redesign process</w:t>
      </w:r>
      <w:r w:rsidR="00E95AFF">
        <w:rPr>
          <w:rFonts w:cs="Arial"/>
          <w:color w:val="auto"/>
          <w:szCs w:val="22"/>
        </w:rPr>
        <w:t>. Key activities were</w:t>
      </w:r>
      <w:r w:rsidR="00EB0BBB" w:rsidRPr="00EB0BBB">
        <w:rPr>
          <w:rFonts w:cs="Arial"/>
          <w:color w:val="auto"/>
          <w:szCs w:val="22"/>
        </w:rPr>
        <w:t xml:space="preserve"> as follows:</w:t>
      </w:r>
    </w:p>
    <w:p w14:paraId="3434E46D" w14:textId="77777777"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Kick-off meeting</w:t>
      </w:r>
      <w:r w:rsidR="009A1185">
        <w:rPr>
          <w:rFonts w:cs="Arial"/>
          <w:color w:val="auto"/>
          <w:szCs w:val="22"/>
        </w:rPr>
        <w:t>.</w:t>
      </w:r>
    </w:p>
    <w:p w14:paraId="6C2BFF17"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August 1, 2019</w:t>
      </w:r>
      <w:r w:rsidR="009A1185">
        <w:rPr>
          <w:rFonts w:cs="Arial"/>
          <w:color w:val="auto"/>
          <w:szCs w:val="22"/>
        </w:rPr>
        <w:t>.</w:t>
      </w:r>
    </w:p>
    <w:p w14:paraId="6EE5F8DC" w14:textId="77777777"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Five workshops between </w:t>
      </w:r>
      <w:r w:rsidR="00253FB1">
        <w:rPr>
          <w:rFonts w:cs="Arial"/>
          <w:color w:val="auto"/>
          <w:szCs w:val="22"/>
        </w:rPr>
        <w:t>November</w:t>
      </w:r>
      <w:r w:rsidR="00253FB1" w:rsidRPr="00EB0BBB">
        <w:rPr>
          <w:rFonts w:cs="Arial"/>
          <w:color w:val="auto"/>
          <w:szCs w:val="22"/>
        </w:rPr>
        <w:t xml:space="preserve"> </w:t>
      </w:r>
      <w:r w:rsidRPr="00EB0BBB">
        <w:rPr>
          <w:rFonts w:cs="Arial"/>
          <w:color w:val="auto"/>
          <w:szCs w:val="22"/>
        </w:rPr>
        <w:t>and December 2019</w:t>
      </w:r>
      <w:r w:rsidR="00AD3039">
        <w:rPr>
          <w:rFonts w:cs="Arial"/>
          <w:color w:val="auto"/>
          <w:szCs w:val="22"/>
        </w:rPr>
        <w:t xml:space="preserve">. </w:t>
      </w:r>
      <w:r w:rsidRPr="00EB0BBB">
        <w:rPr>
          <w:rFonts w:cs="Arial"/>
          <w:color w:val="auto"/>
          <w:szCs w:val="22"/>
        </w:rPr>
        <w:t>Led by Deloitte, these workshops sought to identify the dimensions of the COA necessary for the State of Idaho to conduct business, to meet its internal and external reporting requirements, and to provide meaningful tracking of financial and non-financial information.</w:t>
      </w:r>
      <w:r w:rsidR="00E95AFF">
        <w:rPr>
          <w:rFonts w:cs="Arial"/>
          <w:color w:val="auto"/>
          <w:szCs w:val="22"/>
        </w:rPr>
        <w:t xml:space="preserve"> Workshops were held on the following dates:</w:t>
      </w:r>
    </w:p>
    <w:p w14:paraId="0788F228"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6, 2019</w:t>
      </w:r>
      <w:r w:rsidR="00F83860">
        <w:rPr>
          <w:rFonts w:cs="Arial"/>
          <w:color w:val="auto"/>
          <w:szCs w:val="22"/>
        </w:rPr>
        <w:t>.</w:t>
      </w:r>
    </w:p>
    <w:p w14:paraId="2BBEA11B" w14:textId="77777777" w:rsidR="00EB0BBB" w:rsidRPr="00EB0BBB" w:rsidRDefault="00EB0BBB" w:rsidP="00CE6E16">
      <w:pPr>
        <w:pStyle w:val="Instructions"/>
        <w:numPr>
          <w:ilvl w:val="1"/>
          <w:numId w:val="37"/>
        </w:numPr>
        <w:ind w:left="1440"/>
        <w:rPr>
          <w:sz w:val="18"/>
        </w:rPr>
      </w:pPr>
      <w:r w:rsidRPr="00EB0BBB">
        <w:rPr>
          <w:rFonts w:cs="Arial"/>
          <w:color w:val="auto"/>
          <w:szCs w:val="22"/>
        </w:rPr>
        <w:t>November 12, 2019</w:t>
      </w:r>
      <w:r w:rsidR="00F83860">
        <w:rPr>
          <w:rFonts w:cs="Arial"/>
          <w:color w:val="auto"/>
          <w:szCs w:val="22"/>
        </w:rPr>
        <w:t>.</w:t>
      </w:r>
    </w:p>
    <w:p w14:paraId="4B37419B"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19, 2019</w:t>
      </w:r>
      <w:r w:rsidR="00F83860">
        <w:rPr>
          <w:rFonts w:cs="Arial"/>
          <w:color w:val="auto"/>
          <w:szCs w:val="22"/>
        </w:rPr>
        <w:t>.</w:t>
      </w:r>
    </w:p>
    <w:p w14:paraId="21DCA503"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November 22, 2019</w:t>
      </w:r>
      <w:r w:rsidR="00F83860">
        <w:rPr>
          <w:rFonts w:cs="Arial"/>
          <w:color w:val="auto"/>
          <w:szCs w:val="22"/>
        </w:rPr>
        <w:t>.</w:t>
      </w:r>
    </w:p>
    <w:p w14:paraId="28B3256E"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December 3, 2019</w:t>
      </w:r>
      <w:r w:rsidR="00F83860">
        <w:rPr>
          <w:rFonts w:cs="Arial"/>
          <w:color w:val="auto"/>
          <w:szCs w:val="22"/>
        </w:rPr>
        <w:t>.</w:t>
      </w:r>
    </w:p>
    <w:p w14:paraId="7BAFAF6B" w14:textId="77777777"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One formal presentation to the </w:t>
      </w:r>
      <w:r w:rsidR="00C24D9B">
        <w:rPr>
          <w:rFonts w:cs="Arial"/>
          <w:color w:val="auto"/>
          <w:szCs w:val="22"/>
        </w:rPr>
        <w:t xml:space="preserve">COA Redesign </w:t>
      </w:r>
      <w:r w:rsidRPr="00EB0BBB">
        <w:rPr>
          <w:rFonts w:cs="Arial"/>
          <w:color w:val="auto"/>
          <w:szCs w:val="22"/>
        </w:rPr>
        <w:t xml:space="preserve">Workgroup </w:t>
      </w:r>
      <w:r w:rsidR="00C24D9B">
        <w:rPr>
          <w:rFonts w:cs="Arial"/>
          <w:color w:val="auto"/>
          <w:szCs w:val="22"/>
        </w:rPr>
        <w:t>on</w:t>
      </w:r>
      <w:r w:rsidR="00C24D9B" w:rsidRPr="00EB0BBB">
        <w:rPr>
          <w:rFonts w:cs="Arial"/>
          <w:color w:val="auto"/>
          <w:szCs w:val="22"/>
        </w:rPr>
        <w:t xml:space="preserve"> </w:t>
      </w:r>
      <w:r w:rsidRPr="00EB0BBB">
        <w:rPr>
          <w:rFonts w:cs="Arial"/>
          <w:color w:val="auto"/>
          <w:szCs w:val="22"/>
        </w:rPr>
        <w:t>the proposed COA dimension structure</w:t>
      </w:r>
      <w:r w:rsidR="00E95AFF">
        <w:rPr>
          <w:rFonts w:cs="Arial"/>
          <w:color w:val="auto"/>
          <w:szCs w:val="22"/>
        </w:rPr>
        <w:t xml:space="preserve"> was held on January 16, 2020</w:t>
      </w:r>
      <w:r w:rsidR="00F83860">
        <w:rPr>
          <w:rFonts w:cs="Arial"/>
          <w:color w:val="auto"/>
          <w:szCs w:val="22"/>
        </w:rPr>
        <w:t>.</w:t>
      </w:r>
    </w:p>
    <w:p w14:paraId="1DE9A07F" w14:textId="77777777" w:rsidR="00EB0BBB" w:rsidRPr="00EB0BBB" w:rsidRDefault="00EB0BBB" w:rsidP="00CE6E16">
      <w:pPr>
        <w:pStyle w:val="Instructions"/>
        <w:numPr>
          <w:ilvl w:val="0"/>
          <w:numId w:val="37"/>
        </w:numPr>
        <w:ind w:left="720"/>
        <w:rPr>
          <w:rFonts w:cs="Arial"/>
          <w:color w:val="auto"/>
          <w:szCs w:val="22"/>
        </w:rPr>
      </w:pPr>
      <w:r w:rsidRPr="00EB0BBB">
        <w:rPr>
          <w:rFonts w:cs="Arial"/>
          <w:color w:val="auto"/>
          <w:szCs w:val="22"/>
        </w:rPr>
        <w:t xml:space="preserve">Two follow-up meetings with the </w:t>
      </w:r>
      <w:r w:rsidR="00C24D9B">
        <w:rPr>
          <w:rFonts w:cs="Arial"/>
          <w:color w:val="auto"/>
          <w:szCs w:val="22"/>
        </w:rPr>
        <w:t xml:space="preserve">COA Redesign </w:t>
      </w:r>
      <w:r w:rsidRPr="00EB0BBB">
        <w:rPr>
          <w:rFonts w:cs="Arial"/>
          <w:color w:val="auto"/>
          <w:szCs w:val="22"/>
        </w:rPr>
        <w:t>Workgroup</w:t>
      </w:r>
      <w:r w:rsidR="00E95AFF">
        <w:rPr>
          <w:rFonts w:cs="Arial"/>
          <w:color w:val="auto"/>
          <w:szCs w:val="22"/>
        </w:rPr>
        <w:t xml:space="preserve"> were held on the following dates:</w:t>
      </w:r>
    </w:p>
    <w:p w14:paraId="26BEEF18" w14:textId="77777777" w:rsidR="00EB0BBB" w:rsidRPr="00EB0BBB" w:rsidRDefault="00EB0BBB" w:rsidP="00CE6E16">
      <w:pPr>
        <w:pStyle w:val="Instructions"/>
        <w:numPr>
          <w:ilvl w:val="1"/>
          <w:numId w:val="37"/>
        </w:numPr>
        <w:ind w:left="1440"/>
        <w:rPr>
          <w:rFonts w:cs="Arial"/>
          <w:color w:val="auto"/>
          <w:szCs w:val="22"/>
        </w:rPr>
      </w:pPr>
      <w:r w:rsidRPr="00EB0BBB">
        <w:rPr>
          <w:rFonts w:cs="Arial"/>
          <w:color w:val="auto"/>
          <w:szCs w:val="22"/>
        </w:rPr>
        <w:t>January 24, 2020</w:t>
      </w:r>
      <w:r w:rsidR="00F83860">
        <w:rPr>
          <w:rFonts w:cs="Arial"/>
          <w:color w:val="auto"/>
          <w:szCs w:val="22"/>
        </w:rPr>
        <w:t>.</w:t>
      </w:r>
    </w:p>
    <w:p w14:paraId="05E74616" w14:textId="77777777" w:rsidR="00EB0BBB" w:rsidRPr="00BB3473" w:rsidRDefault="00EB0BBB" w:rsidP="00CE6E16">
      <w:pPr>
        <w:pStyle w:val="ListParagraph"/>
        <w:numPr>
          <w:ilvl w:val="0"/>
          <w:numId w:val="39"/>
        </w:numPr>
        <w:spacing w:after="120"/>
        <w:ind w:left="1440"/>
      </w:pPr>
      <w:r w:rsidRPr="00BB3473">
        <w:t>February 12, 2020</w:t>
      </w:r>
      <w:r w:rsidR="00F83860">
        <w:t>.</w:t>
      </w:r>
    </w:p>
    <w:p w14:paraId="14786FB8" w14:textId="77777777" w:rsidR="00EB0BBB" w:rsidRPr="00BB3473" w:rsidRDefault="00EB0BBB" w:rsidP="00BB3473">
      <w:pPr>
        <w:pStyle w:val="Instructions"/>
        <w:rPr>
          <w:rFonts w:cs="Arial"/>
          <w:color w:val="auto"/>
        </w:rPr>
      </w:pPr>
      <w:r w:rsidRPr="00BB3473">
        <w:rPr>
          <w:rFonts w:cs="Arial"/>
          <w:color w:val="auto"/>
        </w:rPr>
        <w:t>The COA Redesign Workgroup comprised representation from the following State agencies</w:t>
      </w:r>
      <w:r w:rsidR="00AD3039">
        <w:rPr>
          <w:rFonts w:cs="Arial"/>
          <w:color w:val="auto"/>
        </w:rPr>
        <w:t xml:space="preserve">: </w:t>
      </w:r>
    </w:p>
    <w:p w14:paraId="6B62A262"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Division of Fi</w:t>
      </w:r>
      <w:r w:rsidR="00AF557D">
        <w:rPr>
          <w:rFonts w:cs="Arial"/>
          <w:color w:val="auto"/>
        </w:rPr>
        <w:t>nancial</w:t>
      </w:r>
      <w:r w:rsidRPr="00BB3473">
        <w:rPr>
          <w:rFonts w:cs="Arial"/>
          <w:color w:val="auto"/>
        </w:rPr>
        <w:t xml:space="preserve"> Management (DFM)</w:t>
      </w:r>
      <w:r w:rsidR="00F83860">
        <w:rPr>
          <w:rFonts w:cs="Arial"/>
          <w:color w:val="auto"/>
        </w:rPr>
        <w:t>.</w:t>
      </w:r>
      <w:r w:rsidRPr="00BB3473">
        <w:rPr>
          <w:rFonts w:cs="Arial"/>
          <w:color w:val="auto"/>
        </w:rPr>
        <w:t xml:space="preserve"> </w:t>
      </w:r>
    </w:p>
    <w:p w14:paraId="41FC80D0"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Legislative Services Office</w:t>
      </w:r>
      <w:r w:rsidR="00F83860">
        <w:rPr>
          <w:rFonts w:cs="Arial"/>
          <w:color w:val="auto"/>
        </w:rPr>
        <w:t>.</w:t>
      </w:r>
      <w:r w:rsidRPr="00BB3473">
        <w:rPr>
          <w:rFonts w:cs="Arial"/>
          <w:color w:val="auto"/>
        </w:rPr>
        <w:t xml:space="preserve"> </w:t>
      </w:r>
    </w:p>
    <w:p w14:paraId="0EE6851B"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Office of the State Controller</w:t>
      </w:r>
      <w:r w:rsidR="00F83860">
        <w:rPr>
          <w:rFonts w:cs="Arial"/>
          <w:color w:val="auto"/>
        </w:rPr>
        <w:t>.</w:t>
      </w:r>
    </w:p>
    <w:p w14:paraId="3C8D129C"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Health and Welfare</w:t>
      </w:r>
      <w:r w:rsidR="00F83860">
        <w:rPr>
          <w:rFonts w:cs="Arial"/>
          <w:color w:val="auto"/>
        </w:rPr>
        <w:t>.</w:t>
      </w:r>
      <w:r w:rsidRPr="00BB3473">
        <w:rPr>
          <w:rFonts w:cs="Arial"/>
          <w:color w:val="auto"/>
        </w:rPr>
        <w:t xml:space="preserve"> </w:t>
      </w:r>
    </w:p>
    <w:p w14:paraId="0B0FAE30"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Transportation</w:t>
      </w:r>
      <w:r w:rsidR="00F83860">
        <w:rPr>
          <w:rFonts w:cs="Arial"/>
          <w:color w:val="auto"/>
        </w:rPr>
        <w:t>.</w:t>
      </w:r>
      <w:r w:rsidRPr="00BB3473">
        <w:rPr>
          <w:rFonts w:cs="Arial"/>
          <w:color w:val="auto"/>
        </w:rPr>
        <w:t xml:space="preserve"> </w:t>
      </w:r>
    </w:p>
    <w:p w14:paraId="739A0DCC"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State Tax Commission</w:t>
      </w:r>
      <w:r w:rsidR="00F83860">
        <w:rPr>
          <w:rFonts w:cs="Arial"/>
          <w:color w:val="auto"/>
        </w:rPr>
        <w:t>.</w:t>
      </w:r>
      <w:r w:rsidRPr="00BB3473">
        <w:rPr>
          <w:rFonts w:cs="Arial"/>
          <w:color w:val="auto"/>
        </w:rPr>
        <w:t xml:space="preserve"> </w:t>
      </w:r>
    </w:p>
    <w:p w14:paraId="78104B4F"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Labor</w:t>
      </w:r>
      <w:r w:rsidR="00F83860">
        <w:rPr>
          <w:rFonts w:cs="Arial"/>
          <w:color w:val="auto"/>
        </w:rPr>
        <w:t>.</w:t>
      </w:r>
    </w:p>
    <w:p w14:paraId="24260DD0"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Commerce</w:t>
      </w:r>
      <w:r w:rsidR="00F83860">
        <w:rPr>
          <w:rFonts w:cs="Arial"/>
          <w:color w:val="auto"/>
        </w:rPr>
        <w:t>.</w:t>
      </w:r>
      <w:r w:rsidRPr="00BB3473">
        <w:rPr>
          <w:rFonts w:cs="Arial"/>
          <w:color w:val="auto"/>
        </w:rPr>
        <w:t xml:space="preserve"> </w:t>
      </w:r>
    </w:p>
    <w:p w14:paraId="62EC9EA1"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State Liquor Division</w:t>
      </w:r>
      <w:r w:rsidR="00F83860">
        <w:rPr>
          <w:rFonts w:cs="Arial"/>
          <w:color w:val="auto"/>
        </w:rPr>
        <w:t>.</w:t>
      </w:r>
      <w:r w:rsidRPr="00BB3473">
        <w:rPr>
          <w:rFonts w:cs="Arial"/>
          <w:color w:val="auto"/>
        </w:rPr>
        <w:t xml:space="preserve"> </w:t>
      </w:r>
    </w:p>
    <w:p w14:paraId="2A8E7DED"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Military Division</w:t>
      </w:r>
      <w:r w:rsidR="00F83860">
        <w:rPr>
          <w:rFonts w:cs="Arial"/>
          <w:color w:val="auto"/>
        </w:rPr>
        <w:t>.</w:t>
      </w:r>
      <w:r w:rsidRPr="00BB3473">
        <w:rPr>
          <w:rFonts w:cs="Arial"/>
          <w:color w:val="auto"/>
        </w:rPr>
        <w:t xml:space="preserve"> </w:t>
      </w:r>
    </w:p>
    <w:p w14:paraId="3781B51B"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Fish and Game</w:t>
      </w:r>
      <w:r w:rsidR="00F83860">
        <w:rPr>
          <w:rFonts w:cs="Arial"/>
          <w:color w:val="auto"/>
        </w:rPr>
        <w:t>.</w:t>
      </w:r>
      <w:r w:rsidRPr="00BB3473">
        <w:rPr>
          <w:rFonts w:cs="Arial"/>
          <w:color w:val="auto"/>
        </w:rPr>
        <w:t xml:space="preserve"> </w:t>
      </w:r>
    </w:p>
    <w:p w14:paraId="060D95A5"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Idaho State Police</w:t>
      </w:r>
      <w:r w:rsidR="00F83860">
        <w:rPr>
          <w:rFonts w:cs="Arial"/>
          <w:color w:val="auto"/>
        </w:rPr>
        <w:t>.</w:t>
      </w:r>
      <w:r w:rsidRPr="00BB3473">
        <w:rPr>
          <w:rFonts w:cs="Arial"/>
          <w:color w:val="auto"/>
        </w:rPr>
        <w:t xml:space="preserve"> </w:t>
      </w:r>
    </w:p>
    <w:p w14:paraId="52327D55"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lastRenderedPageBreak/>
        <w:t>Department of Correction</w:t>
      </w:r>
      <w:r w:rsidR="00AA19D8">
        <w:rPr>
          <w:rFonts w:cs="Arial"/>
          <w:color w:val="auto"/>
        </w:rPr>
        <w:t>.</w:t>
      </w:r>
      <w:r w:rsidRPr="00BB3473">
        <w:rPr>
          <w:rFonts w:cs="Arial"/>
          <w:color w:val="auto"/>
        </w:rPr>
        <w:t xml:space="preserve"> </w:t>
      </w:r>
    </w:p>
    <w:p w14:paraId="75FF0E07"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Juvenile Corrections</w:t>
      </w:r>
      <w:r w:rsidR="00AA19D8">
        <w:rPr>
          <w:rFonts w:cs="Arial"/>
          <w:color w:val="auto"/>
        </w:rPr>
        <w:t>.</w:t>
      </w:r>
      <w:r w:rsidRPr="00BB3473">
        <w:rPr>
          <w:rFonts w:cs="Arial"/>
          <w:color w:val="auto"/>
        </w:rPr>
        <w:t xml:space="preserve"> </w:t>
      </w:r>
    </w:p>
    <w:p w14:paraId="54CA0ED0"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Department of Lands</w:t>
      </w:r>
      <w:r w:rsidR="00AA19D8">
        <w:rPr>
          <w:rFonts w:cs="Arial"/>
          <w:color w:val="auto"/>
        </w:rPr>
        <w:t>.</w:t>
      </w:r>
      <w:r w:rsidRPr="00BB3473">
        <w:rPr>
          <w:rFonts w:cs="Arial"/>
          <w:color w:val="auto"/>
        </w:rPr>
        <w:t xml:space="preserve"> </w:t>
      </w:r>
    </w:p>
    <w:p w14:paraId="66A72D88" w14:textId="77777777" w:rsidR="00EB0BBB" w:rsidRPr="00BB3473" w:rsidRDefault="00EB0BBB" w:rsidP="00CE6E16">
      <w:pPr>
        <w:pStyle w:val="Instructions"/>
        <w:numPr>
          <w:ilvl w:val="0"/>
          <w:numId w:val="38"/>
        </w:numPr>
        <w:ind w:left="720"/>
        <w:rPr>
          <w:rFonts w:cs="Arial"/>
          <w:color w:val="auto"/>
        </w:rPr>
      </w:pPr>
      <w:r w:rsidRPr="00BB3473">
        <w:rPr>
          <w:rFonts w:cs="Arial"/>
          <w:color w:val="auto"/>
        </w:rPr>
        <w:t>Correctional Industries</w:t>
      </w:r>
      <w:r w:rsidR="00AA19D8">
        <w:rPr>
          <w:rFonts w:cs="Arial"/>
          <w:color w:val="auto"/>
        </w:rPr>
        <w:t>.</w:t>
      </w:r>
      <w:r w:rsidRPr="00BB3473">
        <w:rPr>
          <w:rFonts w:cs="Arial"/>
          <w:color w:val="auto"/>
        </w:rPr>
        <w:t xml:space="preserve"> </w:t>
      </w:r>
    </w:p>
    <w:p w14:paraId="368AB0CB" w14:textId="77777777" w:rsidR="00EB0BBB" w:rsidRPr="00BB3473" w:rsidRDefault="00EB0BBB" w:rsidP="00BB3473">
      <w:pPr>
        <w:pStyle w:val="Instructions"/>
        <w:rPr>
          <w:color w:val="auto"/>
          <w:u w:val="single"/>
        </w:rPr>
      </w:pPr>
      <w:r w:rsidRPr="00BB3473">
        <w:rPr>
          <w:color w:val="auto"/>
          <w:u w:val="single"/>
        </w:rPr>
        <w:t xml:space="preserve">Luma </w:t>
      </w:r>
      <w:r w:rsidR="00370818">
        <w:rPr>
          <w:color w:val="auto"/>
          <w:u w:val="single"/>
        </w:rPr>
        <w:t>Finance</w:t>
      </w:r>
      <w:r w:rsidRPr="00BB3473">
        <w:rPr>
          <w:color w:val="auto"/>
          <w:u w:val="single"/>
        </w:rPr>
        <w:t xml:space="preserve"> Team Timeline</w:t>
      </w:r>
      <w:r w:rsidR="00AD3039">
        <w:rPr>
          <w:color w:val="auto"/>
          <w:u w:val="single"/>
        </w:rPr>
        <w:t xml:space="preserve">: </w:t>
      </w:r>
      <w:r w:rsidRPr="00BB3473">
        <w:rPr>
          <w:color w:val="auto"/>
          <w:u w:val="single"/>
        </w:rPr>
        <w:t xml:space="preserve">August 1, 2019 to February 12, 2020 </w:t>
      </w:r>
    </w:p>
    <w:p w14:paraId="01AD354A" w14:textId="77777777" w:rsidR="00BB3473" w:rsidRDefault="00EB0BBB" w:rsidP="00BB3473">
      <w:pPr>
        <w:pStyle w:val="Instructions"/>
        <w:rPr>
          <w:color w:val="auto"/>
        </w:rPr>
      </w:pPr>
      <w:r w:rsidRPr="00BB3473">
        <w:rPr>
          <w:color w:val="auto"/>
        </w:rPr>
        <w:t xml:space="preserve">In addition to the above COA Redesign Workgroup meetings, the Luma </w:t>
      </w:r>
      <w:r w:rsidR="00370818">
        <w:rPr>
          <w:color w:val="auto"/>
        </w:rPr>
        <w:t>Finance</w:t>
      </w:r>
      <w:r w:rsidRPr="00BB3473">
        <w:rPr>
          <w:color w:val="auto"/>
        </w:rPr>
        <w:t xml:space="preserve"> team (a subset of the work group assigned to the Luma project full-time) performed additional tasks, assignments, and meetings to advance COA elements development</w:t>
      </w:r>
      <w:r w:rsidR="00AD3039">
        <w:rPr>
          <w:color w:val="auto"/>
        </w:rPr>
        <w:t xml:space="preserve">. </w:t>
      </w:r>
      <w:r w:rsidRPr="00BB3473">
        <w:rPr>
          <w:color w:val="auto"/>
        </w:rPr>
        <w:t xml:space="preserve">The Luma </w:t>
      </w:r>
      <w:r w:rsidR="00370818">
        <w:rPr>
          <w:color w:val="auto"/>
        </w:rPr>
        <w:t>Finance</w:t>
      </w:r>
      <w:r w:rsidRPr="00BB3473">
        <w:rPr>
          <w:color w:val="auto"/>
        </w:rPr>
        <w:t xml:space="preserve"> team met numerous times between August 1,</w:t>
      </w:r>
      <w:r w:rsidR="00CD5CDD">
        <w:rPr>
          <w:color w:val="auto"/>
        </w:rPr>
        <w:t xml:space="preserve"> </w:t>
      </w:r>
      <w:r w:rsidRPr="00BB3473">
        <w:rPr>
          <w:color w:val="auto"/>
        </w:rPr>
        <w:t>2019 and February 12, 2020 to further discuss and define the requirements for the COA redesign</w:t>
      </w:r>
      <w:r w:rsidR="00AD3039">
        <w:rPr>
          <w:color w:val="auto"/>
        </w:rPr>
        <w:t xml:space="preserve">. </w:t>
      </w:r>
    </w:p>
    <w:p w14:paraId="6CE20DAE" w14:textId="171C67BF" w:rsidR="00EB0BBB" w:rsidRDefault="00253FB1" w:rsidP="00BB3473">
      <w:pPr>
        <w:pStyle w:val="Instructions"/>
        <w:rPr>
          <w:color w:val="auto"/>
        </w:rPr>
      </w:pPr>
      <w:r>
        <w:rPr>
          <w:color w:val="auto"/>
        </w:rPr>
        <w:t>T</w:t>
      </w:r>
      <w:r w:rsidR="00EB0BBB" w:rsidRPr="00BB3473">
        <w:rPr>
          <w:color w:val="auto"/>
        </w:rPr>
        <w:t xml:space="preserve">he Luma </w:t>
      </w:r>
      <w:r w:rsidR="00D812EA">
        <w:rPr>
          <w:color w:val="auto"/>
        </w:rPr>
        <w:t>Finance</w:t>
      </w:r>
      <w:r w:rsidR="00EB0BBB" w:rsidRPr="00BB3473">
        <w:rPr>
          <w:color w:val="auto"/>
        </w:rPr>
        <w:t xml:space="preserve"> Team presented the proposed COA redesign work to the Luma Governance Board on January 28, 2020</w:t>
      </w:r>
      <w:r w:rsidR="003817A3">
        <w:rPr>
          <w:color w:val="auto"/>
        </w:rPr>
        <w:t xml:space="preserve"> with </w:t>
      </w:r>
      <w:r w:rsidR="00EB0BBB" w:rsidRPr="00BB3473">
        <w:rPr>
          <w:color w:val="auto"/>
        </w:rPr>
        <w:t>positive feedback</w:t>
      </w:r>
      <w:r w:rsidR="003817A3">
        <w:rPr>
          <w:color w:val="auto"/>
        </w:rPr>
        <w:t>.</w:t>
      </w:r>
    </w:p>
    <w:p w14:paraId="37C4D0AC" w14:textId="473E085A" w:rsidR="00FE3864" w:rsidRDefault="00FE3864" w:rsidP="00FE3864">
      <w:pPr>
        <w:pStyle w:val="Bodycopy"/>
        <w:rPr>
          <w:u w:val="single"/>
        </w:rPr>
      </w:pPr>
      <w:r>
        <w:rPr>
          <w:u w:val="single"/>
        </w:rPr>
        <w:t>Luma Finance Team Timeline: February 12, 2020 to December 7, 2020</w:t>
      </w:r>
    </w:p>
    <w:p w14:paraId="1D477AE4" w14:textId="4FAA7D81" w:rsidR="00FE3864" w:rsidRDefault="00E0617B" w:rsidP="00FE3864">
      <w:pPr>
        <w:pStyle w:val="Bodycopy"/>
      </w:pPr>
      <w:r>
        <w:t>From February to December</w:t>
      </w:r>
      <w:r w:rsidR="00FE3864">
        <w:t xml:space="preserve">, the </w:t>
      </w:r>
      <w:r w:rsidR="005D3892">
        <w:t>Luma Project T</w:t>
      </w:r>
      <w:r w:rsidR="00FE3864">
        <w:t xml:space="preserve">eam built and implemented the new Chart of Accounts </w:t>
      </w:r>
      <w:r w:rsidR="005D3892">
        <w:t xml:space="preserve">to use in </w:t>
      </w:r>
      <w:r w:rsidR="00FE3864">
        <w:t xml:space="preserve">testing. During this testing phase, the Luma team determined that in order to maximize </w:t>
      </w:r>
      <w:r w:rsidR="005D3892">
        <w:t xml:space="preserve">the </w:t>
      </w:r>
      <w:r w:rsidR="00FE3864">
        <w:t xml:space="preserve">full </w:t>
      </w:r>
      <w:r w:rsidR="005D3892">
        <w:t xml:space="preserve">functionality and </w:t>
      </w:r>
      <w:r w:rsidR="00FE3864">
        <w:t>efficiency of the Chart of Accounts, the following additional actions would need to be taken:</w:t>
      </w:r>
    </w:p>
    <w:p w14:paraId="31D33A31" w14:textId="5A46E2B0" w:rsidR="00FE3864" w:rsidRDefault="00FE3864" w:rsidP="00FE3864">
      <w:pPr>
        <w:pStyle w:val="Bodycopy"/>
        <w:numPr>
          <w:ilvl w:val="0"/>
          <w:numId w:val="40"/>
        </w:numPr>
      </w:pPr>
      <w:r>
        <w:t>Two</w:t>
      </w:r>
      <w:r w:rsidR="002D742E">
        <w:t xml:space="preserve"> (2)</w:t>
      </w:r>
      <w:r>
        <w:t xml:space="preserve"> new dimensions would need to be added to the</w:t>
      </w:r>
      <w:r w:rsidR="00797FC7">
        <w:t xml:space="preserve"> original </w:t>
      </w:r>
      <w:r>
        <w:t xml:space="preserve">ten (10) </w:t>
      </w:r>
      <w:r w:rsidR="00797FC7">
        <w:t xml:space="preserve">Luma Chart of Account </w:t>
      </w:r>
      <w:r>
        <w:t>dimensions</w:t>
      </w:r>
      <w:r w:rsidR="00797FC7">
        <w:t>.</w:t>
      </w:r>
      <w:r>
        <w:t xml:space="preserve"> </w:t>
      </w:r>
    </w:p>
    <w:p w14:paraId="73AD4200" w14:textId="27EA6419" w:rsidR="002D742E" w:rsidRPr="00BB211E" w:rsidRDefault="00FE3864" w:rsidP="00BB211E">
      <w:pPr>
        <w:pStyle w:val="Bodycopy"/>
        <w:numPr>
          <w:ilvl w:val="0"/>
          <w:numId w:val="40"/>
        </w:numPr>
      </w:pPr>
      <w:r>
        <w:t>The Chart of Accounts dimension order would need to be revised to fully capitalize on structur</w:t>
      </w:r>
      <w:r w:rsidR="00AF6BFB">
        <w:t>e</w:t>
      </w:r>
      <w:r>
        <w:t xml:space="preserve"> relation functionality with</w:t>
      </w:r>
      <w:r w:rsidR="002D742E">
        <w:t>in</w:t>
      </w:r>
      <w:r>
        <w:t xml:space="preserve"> Luma.</w:t>
      </w:r>
    </w:p>
    <w:p w14:paraId="3733B616" w14:textId="77777777" w:rsidR="00FC7F01" w:rsidRDefault="00FC7F01" w:rsidP="00270473">
      <w:pPr>
        <w:pStyle w:val="Heading2"/>
      </w:pPr>
      <w:bookmarkStart w:id="56" w:name="_Toc68532151"/>
      <w:r>
        <w:t>COA Redesign Methodology</w:t>
      </w:r>
      <w:bookmarkEnd w:id="56"/>
    </w:p>
    <w:p w14:paraId="55DD4DB9" w14:textId="77777777" w:rsidR="00BB3473" w:rsidRPr="00BB3473" w:rsidRDefault="00BB3473" w:rsidP="00BB3473">
      <w:pPr>
        <w:pStyle w:val="Instructions"/>
        <w:rPr>
          <w:color w:val="auto"/>
        </w:rPr>
      </w:pPr>
      <w:r w:rsidRPr="00BB3473">
        <w:rPr>
          <w:color w:val="auto"/>
        </w:rPr>
        <w:t xml:space="preserve">The </w:t>
      </w:r>
      <w:r w:rsidR="00D812EA">
        <w:rPr>
          <w:color w:val="auto"/>
        </w:rPr>
        <w:t>Luma Finance team</w:t>
      </w:r>
      <w:r w:rsidRPr="00BB3473">
        <w:rPr>
          <w:color w:val="auto"/>
        </w:rPr>
        <w:t xml:space="preserve"> took a multifaceted approach to the COA redesign</w:t>
      </w:r>
      <w:r w:rsidR="00AD3039">
        <w:rPr>
          <w:color w:val="auto"/>
        </w:rPr>
        <w:t xml:space="preserve">. </w:t>
      </w:r>
      <w:r w:rsidRPr="00BB3473">
        <w:rPr>
          <w:color w:val="auto"/>
        </w:rPr>
        <w:t xml:space="preserve">Tackling this task from several directions ensured that the </w:t>
      </w:r>
      <w:r w:rsidR="00D812EA">
        <w:rPr>
          <w:color w:val="auto"/>
        </w:rPr>
        <w:t>Luma Finance team</w:t>
      </w:r>
      <w:r w:rsidRPr="00BB3473">
        <w:rPr>
          <w:color w:val="auto"/>
        </w:rPr>
        <w:t xml:space="preserve"> considered not just the </w:t>
      </w:r>
      <w:r w:rsidR="008A6CF8">
        <w:rPr>
          <w:color w:val="auto"/>
        </w:rPr>
        <w:t>S</w:t>
      </w:r>
      <w:r w:rsidR="008A6CF8" w:rsidRPr="00BB3473">
        <w:rPr>
          <w:color w:val="auto"/>
        </w:rPr>
        <w:t xml:space="preserve">tate </w:t>
      </w:r>
      <w:r w:rsidRPr="00BB3473">
        <w:rPr>
          <w:color w:val="auto"/>
        </w:rPr>
        <w:t>financial reporting impact of the new COA design but also factored in budgetary needs, external</w:t>
      </w:r>
      <w:r w:rsidR="00AC5785">
        <w:rPr>
          <w:color w:val="auto"/>
        </w:rPr>
        <w:t>/</w:t>
      </w:r>
      <w:r w:rsidR="006165A9">
        <w:rPr>
          <w:color w:val="auto"/>
        </w:rPr>
        <w:t>third-</w:t>
      </w:r>
      <w:r w:rsidRPr="00BB3473">
        <w:rPr>
          <w:color w:val="auto"/>
        </w:rPr>
        <w:t>party reporting and oversight, end-user and operational considerations, cash management controls, Idaho state statutes, and change impacts</w:t>
      </w:r>
      <w:r w:rsidR="00AD3039">
        <w:rPr>
          <w:color w:val="auto"/>
        </w:rPr>
        <w:t xml:space="preserve">. </w:t>
      </w:r>
      <w:r w:rsidRPr="00BB3473">
        <w:rPr>
          <w:color w:val="auto"/>
        </w:rPr>
        <w:t>The methodology employed included high-level</w:t>
      </w:r>
      <w:r w:rsidR="00AC5785">
        <w:rPr>
          <w:color w:val="auto"/>
        </w:rPr>
        <w:t>,</w:t>
      </w:r>
      <w:r w:rsidRPr="00BB3473">
        <w:rPr>
          <w:color w:val="auto"/>
        </w:rPr>
        <w:t xml:space="preserve"> policy-focused discussions as well as practical operational exercises.</w:t>
      </w:r>
      <w:r w:rsidR="003817A3">
        <w:rPr>
          <w:color w:val="auto"/>
        </w:rPr>
        <w:t xml:space="preserve"> The following is a brief discussion of each of those considerations.</w:t>
      </w:r>
    </w:p>
    <w:p w14:paraId="25FB82FB" w14:textId="77777777" w:rsidR="00BB3473" w:rsidRPr="00BB3473" w:rsidRDefault="00BB3473" w:rsidP="00BB3473">
      <w:pPr>
        <w:spacing w:after="120"/>
        <w:rPr>
          <w:u w:val="single"/>
        </w:rPr>
      </w:pPr>
      <w:r w:rsidRPr="00BB3473">
        <w:rPr>
          <w:u w:val="single"/>
        </w:rPr>
        <w:t>Budgetary Needs</w:t>
      </w:r>
    </w:p>
    <w:p w14:paraId="3CDCA9AE" w14:textId="77777777" w:rsidR="00BB3473" w:rsidRPr="00BB3473" w:rsidRDefault="00BB3473" w:rsidP="00BB3473">
      <w:pPr>
        <w:spacing w:after="120"/>
      </w:pPr>
      <w:r w:rsidRPr="00BB3473">
        <w:t xml:space="preserve">The Idaho legislature appropriates spending authority to </w:t>
      </w:r>
      <w:r w:rsidR="003817A3">
        <w:t>S</w:t>
      </w:r>
      <w:r w:rsidR="003817A3" w:rsidRPr="00BB3473">
        <w:t xml:space="preserve">tate </w:t>
      </w:r>
      <w:r w:rsidRPr="00BB3473">
        <w:t>agencies based on a number of factors: program/organizational structure, object (i.e. standard class) and fund</w:t>
      </w:r>
      <w:r w:rsidR="00AD3039">
        <w:t xml:space="preserve">. </w:t>
      </w:r>
      <w:r w:rsidRPr="00BB3473">
        <w:t xml:space="preserve">In order to meet these needs, the </w:t>
      </w:r>
      <w:r w:rsidR="00D812EA">
        <w:t>Luma Finance team</w:t>
      </w:r>
      <w:r w:rsidRPr="00BB3473">
        <w:t xml:space="preserve"> incorporated the necessary elements into the COA dimension structure required for </w:t>
      </w:r>
      <w:r w:rsidR="00403149">
        <w:t>S</w:t>
      </w:r>
      <w:r w:rsidR="00403149" w:rsidRPr="00BB3473">
        <w:t xml:space="preserve">tate </w:t>
      </w:r>
      <w:r w:rsidRPr="00BB3473">
        <w:t xml:space="preserve">appropriation bill drafting. The </w:t>
      </w:r>
      <w:r w:rsidR="00403149">
        <w:t>COA Redesign</w:t>
      </w:r>
      <w:r w:rsidRPr="00BB3473">
        <w:t xml:space="preserve"> Workgroup identified system needs of the new Sherpa budgeting system which will replace the existing budgeting system currently employed by DFM.</w:t>
      </w:r>
    </w:p>
    <w:p w14:paraId="78665186" w14:textId="77777777" w:rsidR="00BB3473" w:rsidRPr="00BB3473" w:rsidRDefault="00BB3473" w:rsidP="00BB3473">
      <w:pPr>
        <w:spacing w:after="120"/>
      </w:pPr>
      <w:r w:rsidRPr="00BB3473">
        <w:rPr>
          <w:u w:val="single"/>
        </w:rPr>
        <w:t>External/Third-party Reporting and Oversight</w:t>
      </w:r>
    </w:p>
    <w:p w14:paraId="08526F4E" w14:textId="77777777" w:rsidR="00BB3473" w:rsidRPr="00BB3473" w:rsidRDefault="00BB3473" w:rsidP="00BB3473">
      <w:pPr>
        <w:spacing w:after="120"/>
      </w:pPr>
      <w:r w:rsidRPr="00BB3473">
        <w:t>Over one-third of Idaho’s state agencies receive federal funds, which come with external financial and performance reporting requirements</w:t>
      </w:r>
      <w:r w:rsidR="00AD3039">
        <w:t xml:space="preserve">. </w:t>
      </w:r>
      <w:r w:rsidRPr="00BB3473">
        <w:t xml:space="preserve">The </w:t>
      </w:r>
      <w:r w:rsidR="00D812EA">
        <w:t>Luma Finance team</w:t>
      </w:r>
      <w:r w:rsidRPr="00BB3473">
        <w:t xml:space="preserve"> incorporated these external reporting requirements into the design elements to provide agencies with the flexibility to meet these</w:t>
      </w:r>
      <w:r w:rsidR="00C80437">
        <w:t xml:space="preserve"> obligations</w:t>
      </w:r>
      <w:r w:rsidR="00AD3039">
        <w:t xml:space="preserve">. </w:t>
      </w:r>
      <w:r w:rsidRPr="00BB3473">
        <w:t xml:space="preserve">An extra dimension, called ‘Additional Reporting’, was added to allow agencies to track information not currently captured through the </w:t>
      </w:r>
      <w:r w:rsidR="00403149">
        <w:t>S</w:t>
      </w:r>
      <w:r w:rsidR="00403149" w:rsidRPr="00BB3473">
        <w:t xml:space="preserve">tate’s </w:t>
      </w:r>
      <w:r w:rsidRPr="00BB3473">
        <w:t>financial reporting requirements</w:t>
      </w:r>
      <w:r w:rsidR="00AD3039">
        <w:t xml:space="preserve">. </w:t>
      </w:r>
      <w:r w:rsidRPr="00BB3473">
        <w:t>The team also considered indirect cost allocation requirements and project set-up needs for these agencies.</w:t>
      </w:r>
    </w:p>
    <w:p w14:paraId="5D84ACEB" w14:textId="77777777" w:rsidR="00BB3473" w:rsidRPr="00BB3473" w:rsidRDefault="00BB3473" w:rsidP="00BB3473">
      <w:pPr>
        <w:spacing w:after="120"/>
      </w:pPr>
      <w:r w:rsidRPr="00BB3473">
        <w:rPr>
          <w:u w:val="single"/>
        </w:rPr>
        <w:t>End-user and Operational Considerations</w:t>
      </w:r>
    </w:p>
    <w:p w14:paraId="45EAAC4E" w14:textId="0041CA2B" w:rsidR="00BB3473" w:rsidRDefault="00BB3473" w:rsidP="00BB3473">
      <w:pPr>
        <w:spacing w:after="120"/>
      </w:pPr>
      <w:r w:rsidRPr="00BB3473">
        <w:lastRenderedPageBreak/>
        <w:t xml:space="preserve">The COA dimension order </w:t>
      </w:r>
      <w:r w:rsidR="00403149">
        <w:t>(the order of the dimensions in the</w:t>
      </w:r>
      <w:r w:rsidR="00D013D6">
        <w:t xml:space="preserve"> GL s</w:t>
      </w:r>
      <w:r w:rsidR="00403149">
        <w:t>tring)</w:t>
      </w:r>
      <w:r w:rsidRPr="00BB3473">
        <w:t xml:space="preserve"> is embedded with intelligence aimed to reduce </w:t>
      </w:r>
      <w:r w:rsidR="00403149" w:rsidRPr="00BB3473">
        <w:t>keystrokes</w:t>
      </w:r>
      <w:r w:rsidRPr="00BB3473">
        <w:t xml:space="preserve"> and data entry errors</w:t>
      </w:r>
      <w:r w:rsidR="00AD3039">
        <w:t xml:space="preserve">. </w:t>
      </w:r>
      <w:r w:rsidRPr="00BB3473">
        <w:t xml:space="preserve">The </w:t>
      </w:r>
      <w:r w:rsidR="00D812EA">
        <w:t>Luma Finance team</w:t>
      </w:r>
      <w:r w:rsidRPr="00BB3473">
        <w:t xml:space="preserve"> and the COA Redesign Workgroup arrived at </w:t>
      </w:r>
      <w:r w:rsidR="00FB33C1">
        <w:t>an initial keying order</w:t>
      </w:r>
      <w:r w:rsidR="00403149">
        <w:t xml:space="preserve"> </w:t>
      </w:r>
      <w:r w:rsidRPr="00BB3473">
        <w:t>based on operational behaviors common to agencies participating in the COA Redesign Workgroup</w:t>
      </w:r>
      <w:r w:rsidR="00AD3039">
        <w:t xml:space="preserve">. </w:t>
      </w:r>
      <w:r w:rsidR="00450F58">
        <w:t>Luma</w:t>
      </w:r>
      <w:r w:rsidRPr="00BB3473">
        <w:t xml:space="preserve"> allows users to set up structu</w:t>
      </w:r>
      <w:r w:rsidR="00AF6BFB">
        <w:t>re relations</w:t>
      </w:r>
      <w:r w:rsidRPr="00BB3473">
        <w:t>, pairing</w:t>
      </w:r>
      <w:r w:rsidR="00403149">
        <w:t xml:space="preserve"> of COA elements</w:t>
      </w:r>
      <w:r w:rsidRPr="00BB3473">
        <w:t xml:space="preserve">, and defaulting </w:t>
      </w:r>
      <w:r w:rsidR="00C80437">
        <w:t>downstream dimension</w:t>
      </w:r>
      <w:r w:rsidR="007617D4">
        <w:t xml:space="preserve"> values</w:t>
      </w:r>
      <w:r w:rsidR="00C80437">
        <w:t xml:space="preserve"> </w:t>
      </w:r>
      <w:r w:rsidRPr="00BB3473">
        <w:t>to reduce or eliminate data entry options</w:t>
      </w:r>
      <w:r w:rsidR="002A6D31">
        <w:t xml:space="preserve"> and </w:t>
      </w:r>
      <w:r w:rsidR="00403149">
        <w:t>errors</w:t>
      </w:r>
      <w:r w:rsidR="00AD3039">
        <w:t xml:space="preserve">. </w:t>
      </w:r>
      <w:r w:rsidRPr="00BB3473">
        <w:t xml:space="preserve">The </w:t>
      </w:r>
      <w:r w:rsidR="00403149">
        <w:t xml:space="preserve">Luma </w:t>
      </w:r>
      <w:r w:rsidR="002A6D31">
        <w:t>Finance</w:t>
      </w:r>
      <w:r w:rsidR="00403149">
        <w:t xml:space="preserve"> team and COA Redesign Workgroup both</w:t>
      </w:r>
      <w:r w:rsidR="00403149" w:rsidRPr="00BB3473">
        <w:t xml:space="preserve"> </w:t>
      </w:r>
      <w:r w:rsidRPr="00BB3473">
        <w:t xml:space="preserve">agreed that </w:t>
      </w:r>
      <w:r w:rsidR="002A6D31">
        <w:t xml:space="preserve">the </w:t>
      </w:r>
      <w:r w:rsidRPr="00BB3473">
        <w:t>Project dimension would drive more coding decisions than any other dimension</w:t>
      </w:r>
      <w:r w:rsidR="002A6D31">
        <w:t>,</w:t>
      </w:r>
      <w:r w:rsidR="00403149" w:rsidRPr="00BB3473">
        <w:t xml:space="preserve"> </w:t>
      </w:r>
      <w:r w:rsidR="00403149">
        <w:t>thus driving the decision to make</w:t>
      </w:r>
      <w:r w:rsidRPr="00BB3473">
        <w:t xml:space="preserve"> project information </w:t>
      </w:r>
      <w:r w:rsidR="002A6D31">
        <w:t>second in the keying order</w:t>
      </w:r>
      <w:r w:rsidR="007C232E">
        <w:t xml:space="preserve"> (after </w:t>
      </w:r>
      <w:r w:rsidR="006D1AD0">
        <w:t xml:space="preserve">the </w:t>
      </w:r>
      <w:r w:rsidR="007C232E">
        <w:t>Agency</w:t>
      </w:r>
      <w:r w:rsidR="006D1AD0">
        <w:t xml:space="preserve"> dimension</w:t>
      </w:r>
      <w:r w:rsidR="007C232E">
        <w:t>)</w:t>
      </w:r>
      <w:r w:rsidR="00403149">
        <w:t>.</w:t>
      </w:r>
      <w:r w:rsidRPr="00BB3473">
        <w:t xml:space="preserve"> Dimensions keyed less often </w:t>
      </w:r>
      <w:r w:rsidR="007617D4">
        <w:t xml:space="preserve">or never, </w:t>
      </w:r>
      <w:r w:rsidRPr="00BB3473">
        <w:t>due to limited use or defaulting</w:t>
      </w:r>
      <w:r w:rsidR="007617D4">
        <w:t>,</w:t>
      </w:r>
      <w:r w:rsidRPr="00BB3473">
        <w:t xml:space="preserve"> were placed at the end of the </w:t>
      </w:r>
      <w:r w:rsidR="00403149">
        <w:t>dimension</w:t>
      </w:r>
      <w:r w:rsidR="00403149" w:rsidRPr="00BB3473">
        <w:t xml:space="preserve"> </w:t>
      </w:r>
      <w:r w:rsidRPr="00BB3473">
        <w:t>order.</w:t>
      </w:r>
    </w:p>
    <w:p w14:paraId="629CA947" w14:textId="4E002C01" w:rsidR="00826739" w:rsidRPr="00BB3473" w:rsidRDefault="00826739" w:rsidP="00BB3473">
      <w:pPr>
        <w:spacing w:after="120"/>
      </w:pPr>
      <w:r>
        <w:t xml:space="preserve">Following the testing phase described above in the COA design timeline, the Luma Finance team </w:t>
      </w:r>
      <w:r w:rsidR="00FB33C1">
        <w:t>further revised the keying order of the COA dimensions to arrive at the order presented in this deliverable.</w:t>
      </w:r>
      <w:r w:rsidR="00726661">
        <w:t xml:space="preserve">  This is discussed in further detail at the end of this section.</w:t>
      </w:r>
    </w:p>
    <w:p w14:paraId="56E10C9E" w14:textId="77777777" w:rsidR="00BB3473" w:rsidRPr="00BB3473" w:rsidRDefault="00BB3473" w:rsidP="00BB3473">
      <w:pPr>
        <w:spacing w:after="120"/>
      </w:pPr>
      <w:r w:rsidRPr="00BB3473">
        <w:rPr>
          <w:u w:val="single"/>
        </w:rPr>
        <w:t>Cash</w:t>
      </w:r>
      <w:r w:rsidR="00F97561">
        <w:rPr>
          <w:u w:val="single"/>
        </w:rPr>
        <w:t xml:space="preserve"> M</w:t>
      </w:r>
      <w:r w:rsidRPr="00BB3473">
        <w:rPr>
          <w:u w:val="single"/>
        </w:rPr>
        <w:t>anagement Controls</w:t>
      </w:r>
    </w:p>
    <w:p w14:paraId="12ADF2E7" w14:textId="272D4ED2" w:rsidR="00BB3473" w:rsidRPr="00BB3473" w:rsidRDefault="007617D4" w:rsidP="00BB3473">
      <w:pPr>
        <w:spacing w:after="120"/>
      </w:pPr>
      <w:r>
        <w:t>Effective c</w:t>
      </w:r>
      <w:r w:rsidR="00BB3473" w:rsidRPr="00BB3473">
        <w:t xml:space="preserve">ash management, separate from appropriation control, is </w:t>
      </w:r>
      <w:r>
        <w:t>a high priority</w:t>
      </w:r>
      <w:r w:rsidR="00BB3473" w:rsidRPr="00BB3473">
        <w:t xml:space="preserve"> </w:t>
      </w:r>
      <w:r>
        <w:t>for</w:t>
      </w:r>
      <w:r w:rsidR="00BB3473" w:rsidRPr="00BB3473">
        <w:t xml:space="preserve"> the State of Idaho</w:t>
      </w:r>
      <w:r w:rsidR="00AD3039">
        <w:t xml:space="preserve">. </w:t>
      </w:r>
      <w:r w:rsidR="00BB3473" w:rsidRPr="00BB3473">
        <w:t xml:space="preserve">In order to meet the control requirements of the State, the </w:t>
      </w:r>
      <w:r w:rsidR="00D812EA">
        <w:t>Luma Finance team</w:t>
      </w:r>
      <w:r w:rsidR="00BB3473" w:rsidRPr="00BB3473">
        <w:t xml:space="preserve"> considered multiple options for achieving the objectives of responsible cash management</w:t>
      </w:r>
      <w:r w:rsidR="00AD3039">
        <w:t xml:space="preserve">. </w:t>
      </w:r>
      <w:r w:rsidR="00BB3473" w:rsidRPr="00BB3473">
        <w:t xml:space="preserve">One hurdle the </w:t>
      </w:r>
      <w:r w:rsidR="00084B9F">
        <w:t>Finance</w:t>
      </w:r>
      <w:r w:rsidR="00C06A5D">
        <w:t xml:space="preserve"> </w:t>
      </w:r>
      <w:r w:rsidR="00BB3473" w:rsidRPr="00BB3473">
        <w:t xml:space="preserve">team had to overcome was the issue of </w:t>
      </w:r>
      <w:r w:rsidR="00C80437">
        <w:t xml:space="preserve">at </w:t>
      </w:r>
      <w:r w:rsidR="00BB3473" w:rsidRPr="00BB3473">
        <w:t>what level in the fund hierarchy cash needed to be controlled</w:t>
      </w:r>
      <w:r w:rsidR="00AD3039">
        <w:t xml:space="preserve">. </w:t>
      </w:r>
      <w:r w:rsidR="00BB3473" w:rsidRPr="00BB3473">
        <w:t xml:space="preserve">Some agencies require cash controls at the </w:t>
      </w:r>
      <w:proofErr w:type="spellStart"/>
      <w:r w:rsidR="00E44E6C">
        <w:t>su</w:t>
      </w:r>
      <w:r w:rsidR="00BB3473" w:rsidRPr="00BB3473">
        <w:t>bfund</w:t>
      </w:r>
      <w:proofErr w:type="spellEnd"/>
      <w:r w:rsidR="00BB3473" w:rsidRPr="00BB3473">
        <w:t xml:space="preserve"> posting level (see </w:t>
      </w:r>
      <w:r w:rsidR="008B5E38">
        <w:t>S</w:t>
      </w:r>
      <w:r w:rsidR="00BB3473" w:rsidRPr="00BB3473">
        <w:t>ection 3 below for further explanation of hierarchical structures), while others require cash controls at a summary level</w:t>
      </w:r>
      <w:r w:rsidR="00AD3039">
        <w:t xml:space="preserve">. </w:t>
      </w:r>
      <w:r>
        <w:t>System functionality requires that</w:t>
      </w:r>
      <w:r w:rsidR="00BB3473" w:rsidRPr="00BB3473">
        <w:t xml:space="preserve"> cash control</w:t>
      </w:r>
      <w:r>
        <w:t xml:space="preserve"> is </w:t>
      </w:r>
      <w:r w:rsidR="00BB3473" w:rsidRPr="00BB3473">
        <w:t xml:space="preserve">placed at the posting level within </w:t>
      </w:r>
      <w:r w:rsidR="00084B9F">
        <w:t>Luma</w:t>
      </w:r>
      <w:r w:rsidR="00AD3039">
        <w:t xml:space="preserve">. </w:t>
      </w:r>
      <w:r w:rsidR="00BB3473" w:rsidRPr="00BB3473">
        <w:t xml:space="preserve">After extensive discussion with Infor representatives, a programming solution </w:t>
      </w:r>
      <w:r w:rsidR="00FB33C1">
        <w:t>was</w:t>
      </w:r>
      <w:r w:rsidR="00CD5CDD">
        <w:t xml:space="preserve"> implemented </w:t>
      </w:r>
      <w:r w:rsidR="00BB3473" w:rsidRPr="00BB3473">
        <w:t xml:space="preserve">that </w:t>
      </w:r>
      <w:r w:rsidR="00FB33C1">
        <w:t>meets</w:t>
      </w:r>
      <w:r w:rsidR="00BB3473" w:rsidRPr="00BB3473">
        <w:t xml:space="preserve"> the needs of the State and resolve</w:t>
      </w:r>
      <w:r>
        <w:t>s</w:t>
      </w:r>
      <w:r w:rsidR="00BB3473" w:rsidRPr="00BB3473">
        <w:t xml:space="preserve"> this</w:t>
      </w:r>
      <w:r w:rsidR="004A0C82">
        <w:t xml:space="preserve"> issue</w:t>
      </w:r>
      <w:r w:rsidR="00BB3473" w:rsidRPr="00BB3473">
        <w:t>.</w:t>
      </w:r>
      <w:r w:rsidR="00FB33C1">
        <w:t xml:space="preserve">  This solution allows the state to control cash at the posting level or at a summary level</w:t>
      </w:r>
      <w:r w:rsidR="00270134">
        <w:t xml:space="preserve">, </w:t>
      </w:r>
      <w:r w:rsidR="00FB33C1">
        <w:t xml:space="preserve">grouping multiple </w:t>
      </w:r>
      <w:proofErr w:type="spellStart"/>
      <w:r w:rsidR="00FB33C1">
        <w:t>subfunds</w:t>
      </w:r>
      <w:proofErr w:type="spellEnd"/>
      <w:r w:rsidR="00FB33C1">
        <w:t xml:space="preserve"> under a summary fund for cumulative cash controls.</w:t>
      </w:r>
    </w:p>
    <w:p w14:paraId="364C31CE" w14:textId="77777777" w:rsidR="00BB3473" w:rsidRPr="00BB3473" w:rsidRDefault="00BB3473" w:rsidP="00BB3473">
      <w:pPr>
        <w:spacing w:after="120"/>
      </w:pPr>
      <w:r w:rsidRPr="00BB3473">
        <w:rPr>
          <w:u w:val="single"/>
        </w:rPr>
        <w:t>State Statutes</w:t>
      </w:r>
    </w:p>
    <w:p w14:paraId="241F73EB" w14:textId="77777777" w:rsidR="00BB3473" w:rsidRPr="00BB3473" w:rsidRDefault="00BB3473" w:rsidP="00BB3473">
      <w:pPr>
        <w:spacing w:after="120"/>
      </w:pPr>
      <w:r w:rsidRPr="00BB3473">
        <w:t xml:space="preserve">Discussions surrounding the development of the Organizational Unit dimension focused on Idaho Code </w:t>
      </w:r>
      <w:r w:rsidR="00C06A5D">
        <w:t>S</w:t>
      </w:r>
      <w:r w:rsidR="00C06A5D" w:rsidRPr="00BB3473">
        <w:t xml:space="preserve">ection </w:t>
      </w:r>
      <w:r w:rsidRPr="00BB3473">
        <w:t xml:space="preserve">67-2402, which drives the organizational structure of the executive branch of Idaho </w:t>
      </w:r>
      <w:r w:rsidR="00C06A5D">
        <w:t>S</w:t>
      </w:r>
      <w:r w:rsidR="00C06A5D" w:rsidRPr="00BB3473">
        <w:t xml:space="preserve">tate </w:t>
      </w:r>
      <w:r w:rsidRPr="00BB3473">
        <w:t xml:space="preserve">government (which encompasses </w:t>
      </w:r>
      <w:r w:rsidR="002F05E5" w:rsidRPr="00BB3473">
        <w:t>most</w:t>
      </w:r>
      <w:r w:rsidRPr="00BB3473">
        <w:t xml:space="preserve"> </w:t>
      </w:r>
      <w:r w:rsidR="00C06A5D">
        <w:t>S</w:t>
      </w:r>
      <w:r w:rsidR="00C06A5D" w:rsidRPr="00BB3473">
        <w:t xml:space="preserve">tate </w:t>
      </w:r>
      <w:r w:rsidRPr="00BB3473">
        <w:t>agencies that will use the new system to meet their financial reporting, human resources and payroll, procurement, and budgetary needs)</w:t>
      </w:r>
      <w:r w:rsidR="00AD3039">
        <w:t xml:space="preserve">. </w:t>
      </w:r>
      <w:r w:rsidRPr="00BB3473">
        <w:t xml:space="preserve">In order to align agency set-up in the Organizational Unit dimension with Idaho Code </w:t>
      </w:r>
      <w:r w:rsidR="00C06A5D">
        <w:t>S</w:t>
      </w:r>
      <w:r w:rsidR="00C06A5D" w:rsidRPr="00BB3473">
        <w:t xml:space="preserve">ection </w:t>
      </w:r>
      <w:r w:rsidRPr="00BB3473">
        <w:t>67-2402, while providing adequate flexibility to account for agencies that do not perfectly align with the stated structure, the</w:t>
      </w:r>
      <w:r w:rsidR="008B5E38">
        <w:t xml:space="preserve"> Finance</w:t>
      </w:r>
      <w:r w:rsidRPr="00BB3473">
        <w:t xml:space="preserve"> team decided on a hierarchy structure based on </w:t>
      </w:r>
      <w:r w:rsidR="00C06A5D">
        <w:t>S</w:t>
      </w:r>
      <w:r w:rsidR="00C06A5D" w:rsidRPr="00BB3473">
        <w:t xml:space="preserve">ection </w:t>
      </w:r>
      <w:r w:rsidRPr="00BB3473">
        <w:t>67-2402, with additional optional levels for agencies that require them.</w:t>
      </w:r>
    </w:p>
    <w:p w14:paraId="65AECE2B" w14:textId="77777777" w:rsidR="00BB3473" w:rsidRPr="00BB3473" w:rsidRDefault="00BB3473" w:rsidP="00BB3473">
      <w:pPr>
        <w:spacing w:after="120"/>
      </w:pPr>
      <w:r w:rsidRPr="00BB3473">
        <w:rPr>
          <w:u w:val="single"/>
        </w:rPr>
        <w:t>Change Impacts</w:t>
      </w:r>
    </w:p>
    <w:p w14:paraId="7E28329D" w14:textId="6E759ED1" w:rsidR="00BB3473" w:rsidRPr="00BB3473" w:rsidRDefault="00BB3473" w:rsidP="00BB3473">
      <w:pPr>
        <w:spacing w:after="120"/>
      </w:pPr>
      <w:r w:rsidRPr="00BB3473">
        <w:t xml:space="preserve">The </w:t>
      </w:r>
      <w:r w:rsidR="00D812EA">
        <w:t>Luma Finance team</w:t>
      </w:r>
      <w:r w:rsidRPr="00BB3473">
        <w:t xml:space="preserve"> examined current </w:t>
      </w:r>
      <w:r w:rsidR="00C06A5D">
        <w:t xml:space="preserve">use of the </w:t>
      </w:r>
      <w:r w:rsidRPr="00BB3473">
        <w:t xml:space="preserve">STARS </w:t>
      </w:r>
      <w:r w:rsidR="00C06A5D">
        <w:t>system including</w:t>
      </w:r>
      <w:r w:rsidRPr="00BB3473">
        <w:t xml:space="preserve"> fields and data elements to ensure current agency needs and system uses were incorporated into or accounted for in the new COA design</w:t>
      </w:r>
      <w:r w:rsidR="00AD3039">
        <w:t xml:space="preserve">. </w:t>
      </w:r>
      <w:r w:rsidRPr="00BB3473">
        <w:t xml:space="preserve">The </w:t>
      </w:r>
      <w:r w:rsidR="008B5E38">
        <w:t xml:space="preserve">Finance </w:t>
      </w:r>
      <w:r w:rsidRPr="00BB3473">
        <w:t>team was careful to suggest changes in numbering</w:t>
      </w:r>
      <w:r w:rsidR="00C06A5D">
        <w:t xml:space="preserve"> </w:t>
      </w:r>
      <w:r w:rsidR="00D3106F">
        <w:t>or</w:t>
      </w:r>
      <w:r w:rsidR="00C06A5D">
        <w:t xml:space="preserve"> </w:t>
      </w:r>
      <w:r w:rsidRPr="00BB3473">
        <w:t xml:space="preserve">naming only when it made sense (either to accommodate new </w:t>
      </w:r>
      <w:r w:rsidR="00D3106F">
        <w:t>Luma</w:t>
      </w:r>
      <w:r w:rsidRPr="00BB3473">
        <w:t xml:space="preserve"> requirements or to fix system limitations</w:t>
      </w:r>
      <w:r w:rsidR="001B758D">
        <w:t>/</w:t>
      </w:r>
      <w:r w:rsidRPr="00BB3473">
        <w:t>issues stemming from the legacy STARS system)</w:t>
      </w:r>
      <w:r w:rsidR="00AD3039">
        <w:t xml:space="preserve">. </w:t>
      </w:r>
      <w:r w:rsidRPr="00BB3473">
        <w:t>For example, the team elected to carry forward agency numbers and budget unit coding from the legacy STARS system</w:t>
      </w:r>
      <w:r w:rsidR="00AD3039">
        <w:t xml:space="preserve">. </w:t>
      </w:r>
      <w:r w:rsidRPr="00BB3473">
        <w:t xml:space="preserve">However, to overcome the confusion between budget (spending plan) and state appropriation (spending authority), the team elected to change the naming </w:t>
      </w:r>
      <w:r w:rsidR="007617D4">
        <w:t xml:space="preserve">of the dimension </w:t>
      </w:r>
      <w:r w:rsidR="00211791">
        <w:t xml:space="preserve">housing this information </w:t>
      </w:r>
      <w:r w:rsidRPr="00BB3473">
        <w:t xml:space="preserve">from </w:t>
      </w:r>
      <w:r w:rsidR="00211791">
        <w:t>B</w:t>
      </w:r>
      <w:r w:rsidRPr="00BB3473">
        <w:t xml:space="preserve">udget </w:t>
      </w:r>
      <w:r w:rsidR="00211791">
        <w:t>U</w:t>
      </w:r>
      <w:r w:rsidRPr="00BB3473">
        <w:t xml:space="preserve">nit to </w:t>
      </w:r>
      <w:r w:rsidR="00211791">
        <w:t>A</w:t>
      </w:r>
      <w:r w:rsidRPr="00BB3473">
        <w:t>ppropriation.</w:t>
      </w:r>
    </w:p>
    <w:p w14:paraId="672ABFEC" w14:textId="76AF74DA" w:rsidR="00BB3473" w:rsidRPr="00BB3473" w:rsidRDefault="00BB3473" w:rsidP="00BB3473">
      <w:pPr>
        <w:spacing w:after="120"/>
      </w:pPr>
      <w:r w:rsidRPr="00BB3473">
        <w:t xml:space="preserve">The </w:t>
      </w:r>
      <w:r w:rsidR="00D3106F">
        <w:t>Finance</w:t>
      </w:r>
      <w:r w:rsidRPr="00BB3473">
        <w:t xml:space="preserve"> team discussed current assumptions and how </w:t>
      </w:r>
      <w:r w:rsidR="00D3106F">
        <w:t>Luma</w:t>
      </w:r>
      <w:r w:rsidRPr="00BB3473">
        <w:t xml:space="preserve"> would </w:t>
      </w:r>
      <w:r w:rsidR="00D3106F">
        <w:t>control spending against</w:t>
      </w:r>
      <w:r w:rsidR="00726661">
        <w:t xml:space="preserve"> appropriation</w:t>
      </w:r>
      <w:r w:rsidR="00D3106F">
        <w:t>. F</w:t>
      </w:r>
      <w:r w:rsidRPr="00BB3473">
        <w:t>or example, some agencies</w:t>
      </w:r>
      <w:r w:rsidR="00211791">
        <w:t>’</w:t>
      </w:r>
      <w:r w:rsidRPr="00BB3473">
        <w:t xml:space="preserve"> appropriated program</w:t>
      </w:r>
      <w:r w:rsidR="00726661">
        <w:t>s</w:t>
      </w:r>
      <w:r w:rsidR="00211791">
        <w:t xml:space="preserve"> </w:t>
      </w:r>
      <w:r w:rsidR="00726661">
        <w:t xml:space="preserve">closely align with their </w:t>
      </w:r>
      <w:r w:rsidRPr="00BB3473">
        <w:t>organizational structure</w:t>
      </w:r>
      <w:r w:rsidR="00726661">
        <w:t xml:space="preserve"> while others do not</w:t>
      </w:r>
      <w:r w:rsidR="00AD3039">
        <w:t xml:space="preserve">. </w:t>
      </w:r>
      <w:r w:rsidRPr="00BB3473">
        <w:t xml:space="preserve">On the assumption that the Idaho legislature would continue with </w:t>
      </w:r>
      <w:r w:rsidR="00211791">
        <w:t>current funding models</w:t>
      </w:r>
      <w:r w:rsidRPr="00BB3473">
        <w:t xml:space="preserve"> into the future, the team elected to set up a separate dimension for appropriation </w:t>
      </w:r>
      <w:r w:rsidR="00726661">
        <w:t>to allow</w:t>
      </w:r>
      <w:r w:rsidR="00726661" w:rsidRPr="00BB3473">
        <w:t xml:space="preserve"> </w:t>
      </w:r>
      <w:r w:rsidRPr="00BB3473">
        <w:t xml:space="preserve">agencies the flexibility to </w:t>
      </w:r>
      <w:r w:rsidR="00726661">
        <w:t xml:space="preserve">default the </w:t>
      </w:r>
      <w:r w:rsidRPr="00BB3473">
        <w:t xml:space="preserve">appropriation </w:t>
      </w:r>
      <w:r w:rsidR="00726661">
        <w:t>from</w:t>
      </w:r>
      <w:r w:rsidRPr="00BB3473">
        <w:t xml:space="preserve"> the Program</w:t>
      </w:r>
      <w:r w:rsidR="00726661">
        <w:t xml:space="preserve">, Project, </w:t>
      </w:r>
      <w:r w:rsidR="00211791">
        <w:t xml:space="preserve">or </w:t>
      </w:r>
      <w:r w:rsidR="00726661">
        <w:t>Organizational Unit</w:t>
      </w:r>
      <w:r w:rsidRPr="00BB3473">
        <w:t xml:space="preserve"> dimension </w:t>
      </w:r>
      <w:r w:rsidR="00726661">
        <w:t xml:space="preserve">codes created by the agency.  This allows agencies maximum flexibility to design their coding to meet their operation needs while also achieving the necessary controls </w:t>
      </w:r>
      <w:r w:rsidR="00C80437">
        <w:t xml:space="preserve">based on </w:t>
      </w:r>
      <w:r w:rsidR="00211791">
        <w:t>legislative directive.</w:t>
      </w:r>
    </w:p>
    <w:p w14:paraId="6E11A98E" w14:textId="77777777" w:rsidR="00BB3473" w:rsidRPr="00BB3473" w:rsidRDefault="00BB3473" w:rsidP="00BB3473">
      <w:pPr>
        <w:pStyle w:val="Instructions"/>
        <w:rPr>
          <w:color w:val="auto"/>
          <w:u w:val="single"/>
        </w:rPr>
      </w:pPr>
      <w:r w:rsidRPr="00BB3473">
        <w:rPr>
          <w:color w:val="auto"/>
          <w:u w:val="single"/>
        </w:rPr>
        <w:t>Operational Exercises for Dimension Development</w:t>
      </w:r>
    </w:p>
    <w:p w14:paraId="36A2B136" w14:textId="7BA42C92" w:rsidR="00BB3473" w:rsidRDefault="00BB3473" w:rsidP="00BB3473">
      <w:pPr>
        <w:pStyle w:val="Instructions"/>
        <w:rPr>
          <w:color w:val="auto"/>
        </w:rPr>
      </w:pPr>
      <w:r w:rsidRPr="00BB3473">
        <w:rPr>
          <w:color w:val="auto"/>
        </w:rPr>
        <w:lastRenderedPageBreak/>
        <w:t xml:space="preserve">While the COA Redesign </w:t>
      </w:r>
      <w:r w:rsidR="00CB2C3D">
        <w:rPr>
          <w:color w:val="auto"/>
        </w:rPr>
        <w:t>Workg</w:t>
      </w:r>
      <w:r w:rsidRPr="00BB3473">
        <w:rPr>
          <w:color w:val="auto"/>
        </w:rPr>
        <w:t xml:space="preserve">roup meetings involved mainly high-level, policy-driven discussions aimed at meeting reporting and statutory requirements, the </w:t>
      </w:r>
      <w:r w:rsidR="00D812EA">
        <w:rPr>
          <w:color w:val="auto"/>
        </w:rPr>
        <w:t>Luma Finance team</w:t>
      </w:r>
      <w:r w:rsidRPr="00BB3473">
        <w:rPr>
          <w:color w:val="auto"/>
        </w:rPr>
        <w:t xml:space="preserve"> focused in on the practical application of the new COA design</w:t>
      </w:r>
      <w:r w:rsidR="00AD3039">
        <w:rPr>
          <w:color w:val="auto"/>
        </w:rPr>
        <w:t xml:space="preserve">. </w:t>
      </w:r>
      <w:r w:rsidRPr="00BB3473">
        <w:rPr>
          <w:color w:val="auto"/>
        </w:rPr>
        <w:t xml:space="preserve">The </w:t>
      </w:r>
      <w:r w:rsidR="00D812EA">
        <w:rPr>
          <w:color w:val="auto"/>
        </w:rPr>
        <w:t>Luma Finance team</w:t>
      </w:r>
      <w:r w:rsidRPr="00BB3473">
        <w:rPr>
          <w:color w:val="auto"/>
        </w:rPr>
        <w:t xml:space="preserve"> completed entity-specific exercises to build out </w:t>
      </w:r>
      <w:r w:rsidR="000C64BC">
        <w:rPr>
          <w:color w:val="auto"/>
        </w:rPr>
        <w:t>agency values</w:t>
      </w:r>
      <w:r w:rsidR="000C64BC" w:rsidRPr="00BB3473">
        <w:rPr>
          <w:color w:val="auto"/>
        </w:rPr>
        <w:t xml:space="preserve"> </w:t>
      </w:r>
      <w:r w:rsidRPr="00BB3473">
        <w:rPr>
          <w:color w:val="auto"/>
        </w:rPr>
        <w:t>in each proposed COA dimension</w:t>
      </w:r>
      <w:r w:rsidR="00AD3039">
        <w:rPr>
          <w:color w:val="auto"/>
        </w:rPr>
        <w:t xml:space="preserve">. </w:t>
      </w:r>
      <w:r w:rsidRPr="00BB3473">
        <w:rPr>
          <w:color w:val="auto"/>
        </w:rPr>
        <w:t xml:space="preserve">These exercises helped to further discussion about dimension structure internally as well as with the COA Redesign </w:t>
      </w:r>
      <w:r w:rsidR="00CE7C74">
        <w:rPr>
          <w:color w:val="auto"/>
        </w:rPr>
        <w:t>Workg</w:t>
      </w:r>
      <w:r w:rsidRPr="00BB3473">
        <w:rPr>
          <w:color w:val="auto"/>
        </w:rPr>
        <w:t>roup</w:t>
      </w:r>
      <w:r w:rsidR="00AD3039">
        <w:rPr>
          <w:color w:val="auto"/>
        </w:rPr>
        <w:t xml:space="preserve">. </w:t>
      </w:r>
      <w:r w:rsidRPr="00BB3473">
        <w:rPr>
          <w:color w:val="auto"/>
        </w:rPr>
        <w:t xml:space="preserve">Through these exercises, the team identified additional information necessary to achieve the </w:t>
      </w:r>
      <w:r w:rsidR="000C64BC">
        <w:rPr>
          <w:color w:val="auto"/>
        </w:rPr>
        <w:t>S</w:t>
      </w:r>
      <w:r w:rsidR="000C64BC" w:rsidRPr="00BB3473">
        <w:rPr>
          <w:color w:val="auto"/>
        </w:rPr>
        <w:t xml:space="preserve">tate’s </w:t>
      </w:r>
      <w:r w:rsidRPr="00BB3473">
        <w:rPr>
          <w:color w:val="auto"/>
        </w:rPr>
        <w:t>operational, reporting, and tracking objectives.</w:t>
      </w:r>
    </w:p>
    <w:p w14:paraId="644EDEAA" w14:textId="0CC8C84E" w:rsidR="00335372" w:rsidRDefault="00335372" w:rsidP="00335372">
      <w:pPr>
        <w:pStyle w:val="Bodycopy"/>
        <w:rPr>
          <w:u w:val="single"/>
        </w:rPr>
      </w:pPr>
      <w:r>
        <w:rPr>
          <w:u w:val="single"/>
        </w:rPr>
        <w:t>Changes Resulting from Luma Testing</w:t>
      </w:r>
    </w:p>
    <w:p w14:paraId="69693663" w14:textId="77777777" w:rsidR="003C050D" w:rsidRDefault="00726661" w:rsidP="00335372">
      <w:pPr>
        <w:pStyle w:val="Bodycopy"/>
      </w:pPr>
      <w:r>
        <w:t>Two new dimensions were added to the original COA design at the end of the System Integration 1 testing phase.   The first additional dimensi</w:t>
      </w:r>
      <w:r w:rsidR="003C050D">
        <w:t xml:space="preserve">on is the Trust Account dimension and the second is the System Interagency dimension. </w:t>
      </w:r>
    </w:p>
    <w:p w14:paraId="713B68DD" w14:textId="2EC4AD54" w:rsidR="003C050D" w:rsidRDefault="00BB211E" w:rsidP="003C050D">
      <w:pPr>
        <w:pStyle w:val="Bodycopy"/>
      </w:pPr>
      <w:r w:rsidRPr="00BB211E">
        <w:rPr>
          <w:rFonts w:cs="Arial"/>
          <w:bCs/>
        </w:rPr>
        <w:t>The</w:t>
      </w:r>
      <w:r>
        <w:rPr>
          <w:rFonts w:cs="Arial"/>
          <w:bCs/>
        </w:rPr>
        <w:t xml:space="preserve"> </w:t>
      </w:r>
      <w:r w:rsidRPr="00BB211E">
        <w:rPr>
          <w:rFonts w:cs="Arial"/>
          <w:bCs/>
        </w:rPr>
        <w:t>Trust Account dimension was added to the Luma Chart of Accounts upon recommendation from the Infor Software Development team. Initially, the project team identified the ‘Project’ dimension as the preferred method to track trust account information. However, after further testing and additional requirements gathering, the State of Idaho identified the need for tracking trust accounts by using a dimension set aside for this sole purpose</w:t>
      </w:r>
      <w:r>
        <w:rPr>
          <w:rFonts w:cs="Arial"/>
          <w:bCs/>
        </w:rPr>
        <w:t xml:space="preserve">. </w:t>
      </w:r>
      <w:r w:rsidR="003C050D">
        <w:t>The Infor Software Development team intends to release a solution in the application to meet the needs of the state in November of 2021, five months after Idaho’s go-live date.  In order to meet the interim needs of state agencies, the state is adding this dimension to house minimal Trust Account data.</w:t>
      </w:r>
    </w:p>
    <w:p w14:paraId="68520492" w14:textId="65698177" w:rsidR="00335372" w:rsidRDefault="00335372" w:rsidP="00335372">
      <w:pPr>
        <w:pStyle w:val="Bodycopy"/>
      </w:pPr>
      <w:r>
        <w:t>The creation of the System Interagency dimension</w:t>
      </w:r>
      <w:r w:rsidR="00942B8E">
        <w:t xml:space="preserve"> resulted from testing of the interagency billing functionality in Luma.</w:t>
      </w:r>
      <w:r>
        <w:t xml:space="preserve"> </w:t>
      </w:r>
      <w:r w:rsidR="00942B8E">
        <w:t xml:space="preserve">In order to </w:t>
      </w:r>
      <w:r w:rsidR="003C050D">
        <w:t>trace</w:t>
      </w:r>
      <w:r w:rsidR="00942B8E">
        <w:t xml:space="preserve"> transactions between</w:t>
      </w:r>
      <w:r w:rsidR="00057CAD">
        <w:t xml:space="preserve"> a</w:t>
      </w:r>
      <w:r w:rsidR="00942B8E">
        <w:t xml:space="preserve">gencies, the team determined that adding a new dimension would provide </w:t>
      </w:r>
      <w:r w:rsidR="0089502D">
        <w:t xml:space="preserve">necessary </w:t>
      </w:r>
      <w:r w:rsidR="00942B8E">
        <w:t>transparency at the transaction level.</w:t>
      </w:r>
      <w:r w:rsidR="003C050D">
        <w:t xml:space="preserve">  Without this dimension, agencies would only be able to view the half of a two-sided transaction that impacts their agency. They would not have transparency into </w:t>
      </w:r>
      <w:r w:rsidR="0089502D">
        <w:t>which</w:t>
      </w:r>
      <w:r w:rsidR="003C050D">
        <w:t xml:space="preserve"> agency is on the other side of a two-sided transaction between agencies (interagency fund transfers, interagency billings, </w:t>
      </w:r>
      <w:r w:rsidR="00D010BD">
        <w:t>etc.</w:t>
      </w:r>
      <w:r w:rsidR="003C050D">
        <w:t>)</w:t>
      </w:r>
      <w:r w:rsidR="0089502D">
        <w:t xml:space="preserve"> since state agencies are generally prevented from viewing the transactional data of other agencies</w:t>
      </w:r>
      <w:r w:rsidR="003C050D">
        <w:t>.</w:t>
      </w:r>
    </w:p>
    <w:p w14:paraId="0DB91C73" w14:textId="3ECBF822" w:rsidR="00335372" w:rsidRPr="00BB211E" w:rsidRDefault="00335372" w:rsidP="00BB211E">
      <w:pPr>
        <w:pStyle w:val="Bodycopy"/>
      </w:pPr>
      <w:r>
        <w:t>The order of the Chart of Accounts dimensions is driven mainly by structur</w:t>
      </w:r>
      <w:r w:rsidR="00AF6BFB">
        <w:t>e</w:t>
      </w:r>
      <w:r>
        <w:t xml:space="preserve"> relations and </w:t>
      </w:r>
      <w:r w:rsidR="0089502D">
        <w:t xml:space="preserve">the need for </w:t>
      </w:r>
      <w:r>
        <w:t>budgetary control. The team determined that grouping the dimensions strategically would benefit both structur</w:t>
      </w:r>
      <w:r w:rsidR="00AF6BFB">
        <w:t>e</w:t>
      </w:r>
      <w:r>
        <w:t xml:space="preserve"> relations and </w:t>
      </w:r>
      <w:r w:rsidR="00211791">
        <w:t xml:space="preserve">enhance </w:t>
      </w:r>
      <w:r>
        <w:t xml:space="preserve">budgetary control. </w:t>
      </w:r>
      <w:r w:rsidR="00211791">
        <w:t xml:space="preserve">Changes to the </w:t>
      </w:r>
      <w:r>
        <w:t xml:space="preserve">order </w:t>
      </w:r>
      <w:r w:rsidR="00F74A3A">
        <w:t xml:space="preserve">of </w:t>
      </w:r>
      <w:r>
        <w:t xml:space="preserve">the now twelve (12) dimensions </w:t>
      </w:r>
      <w:r w:rsidR="00211791">
        <w:t xml:space="preserve">resulted </w:t>
      </w:r>
      <w:r>
        <w:t xml:space="preserve">in the following </w:t>
      </w:r>
      <w:r w:rsidR="00211791">
        <w:t xml:space="preserve">COA dimension </w:t>
      </w:r>
      <w:r>
        <w:t>order: Agency, Project, Organizational Unit, Program, Appropriation, Fund, Account, Location, Additional Reporting</w:t>
      </w:r>
      <w:r w:rsidR="0089502D">
        <w:t>, Trust Account</w:t>
      </w:r>
      <w:r>
        <w:t xml:space="preserve">, Funding Source, </w:t>
      </w:r>
      <w:r w:rsidR="00F74A3A">
        <w:t xml:space="preserve">and </w:t>
      </w:r>
      <w:r>
        <w:t xml:space="preserve">System Interagency. </w:t>
      </w:r>
    </w:p>
    <w:p w14:paraId="1A752B94" w14:textId="77777777" w:rsidR="00FC7F01" w:rsidRDefault="00FC7F01" w:rsidP="00270473">
      <w:pPr>
        <w:pStyle w:val="Heading2"/>
      </w:pPr>
      <w:bookmarkStart w:id="57" w:name="_Toc68532152"/>
      <w:r>
        <w:t>COA Redesign Review</w:t>
      </w:r>
      <w:r w:rsidR="000C64BC">
        <w:t xml:space="preserve"> and Approval</w:t>
      </w:r>
      <w:bookmarkEnd w:id="57"/>
    </w:p>
    <w:p w14:paraId="1C1580C5" w14:textId="64C3392B" w:rsidR="00BB3473" w:rsidRPr="00ED3D9D" w:rsidRDefault="00BB3473" w:rsidP="00BB3473">
      <w:pPr>
        <w:pStyle w:val="Bodycopy"/>
        <w:rPr>
          <w:lang w:val="en-GB"/>
        </w:rPr>
      </w:pPr>
      <w:r>
        <w:t>The COA design has</w:t>
      </w:r>
      <w:r w:rsidR="005C6BE3">
        <w:t xml:space="preserve"> gone through</w:t>
      </w:r>
      <w:r>
        <w:t xml:space="preserve"> and will continue to go through an extensive vetting process to ensure the COA redesign meets the needs of the State of Idaho and its discrete </w:t>
      </w:r>
      <w:r w:rsidR="00211791">
        <w:t>components</w:t>
      </w:r>
      <w:r w:rsidR="00AD3039">
        <w:t xml:space="preserve">. </w:t>
      </w:r>
      <w:r w:rsidR="00235DB4">
        <w:t>T</w:t>
      </w:r>
      <w:r>
        <w:t xml:space="preserve">he COA design </w:t>
      </w:r>
      <w:r w:rsidR="00126284">
        <w:t>was</w:t>
      </w:r>
      <w:r>
        <w:t xml:space="preserve"> informally agreed to by the </w:t>
      </w:r>
      <w:r w:rsidR="00D812EA">
        <w:t>Luma Finance team</w:t>
      </w:r>
      <w:r w:rsidR="00AD3039">
        <w:t xml:space="preserve">. </w:t>
      </w:r>
      <w:r>
        <w:t xml:space="preserve">It was presented to the COA Redesign </w:t>
      </w:r>
      <w:r w:rsidR="005C6BE3">
        <w:t>Workgroup</w:t>
      </w:r>
      <w:r>
        <w:t xml:space="preserve"> on January 16, 2020, revised further, and re-presented on January 24, 2020</w:t>
      </w:r>
      <w:r w:rsidR="00AD3039">
        <w:t xml:space="preserve">. </w:t>
      </w:r>
      <w:r>
        <w:t xml:space="preserve">The </w:t>
      </w:r>
      <w:r w:rsidR="00D812EA">
        <w:t>Luma Finance team</w:t>
      </w:r>
      <w:r>
        <w:t xml:space="preserve"> presented </w:t>
      </w:r>
      <w:r w:rsidR="00235DB4">
        <w:t xml:space="preserve">a </w:t>
      </w:r>
      <w:r>
        <w:t xml:space="preserve">proposed design to the Luma Governance Board on </w:t>
      </w:r>
      <w:r w:rsidR="002B29BC">
        <w:t>January 28, 2020 and</w:t>
      </w:r>
      <w:r>
        <w:t xml:space="preserve"> present</w:t>
      </w:r>
      <w:r w:rsidR="000C64BC">
        <w:t>ed a</w:t>
      </w:r>
      <w:r>
        <w:t xml:space="preserve"> draft version </w:t>
      </w:r>
      <w:r w:rsidR="00076ABF">
        <w:t xml:space="preserve">of </w:t>
      </w:r>
      <w:r>
        <w:t xml:space="preserve">this deliverable to the Luma </w:t>
      </w:r>
      <w:r w:rsidR="000C64BC">
        <w:t>Project</w:t>
      </w:r>
      <w:r>
        <w:t xml:space="preserve"> PMO February 12, 2020</w:t>
      </w:r>
      <w:r w:rsidR="00AD3039">
        <w:t xml:space="preserve">. </w:t>
      </w:r>
      <w:r w:rsidR="00176111">
        <w:t xml:space="preserve">The </w:t>
      </w:r>
      <w:r w:rsidR="009869B8">
        <w:t xml:space="preserve">COA redesign proposal was presented to the Governance Board for concurrence on February 25, 2020. </w:t>
      </w:r>
      <w:r w:rsidR="00611016">
        <w:t xml:space="preserve">The </w:t>
      </w:r>
      <w:r w:rsidR="009869B8">
        <w:t xml:space="preserve">Luma Project Manager acting on behalf of the </w:t>
      </w:r>
      <w:r w:rsidR="00611016">
        <w:t xml:space="preserve">State Controller </w:t>
      </w:r>
      <w:r w:rsidR="009869B8">
        <w:t xml:space="preserve">completed </w:t>
      </w:r>
      <w:r w:rsidR="00611016">
        <w:t xml:space="preserve">a review and </w:t>
      </w:r>
      <w:r w:rsidR="009869B8">
        <w:t xml:space="preserve">accepted </w:t>
      </w:r>
      <w:r w:rsidR="00235DB4">
        <w:t xml:space="preserve">the </w:t>
      </w:r>
      <w:r w:rsidR="009869B8">
        <w:t>deliverable on February 25, 2020</w:t>
      </w:r>
      <w:r w:rsidR="0003050B">
        <w:t>.</w:t>
      </w:r>
      <w:r w:rsidR="009869B8">
        <w:t xml:space="preserve"> </w:t>
      </w:r>
      <w:r w:rsidR="00235DB4">
        <w:t>Further changes to the COA design were presented to the Governance Board on December 15, 2020</w:t>
      </w:r>
      <w:r w:rsidR="00126284">
        <w:t>,</w:t>
      </w:r>
      <w:r w:rsidR="00E5754C">
        <w:t xml:space="preserve"> and to </w:t>
      </w:r>
      <w:r w:rsidR="00133016">
        <w:t>the Project Manager acting o</w:t>
      </w:r>
      <w:r w:rsidR="00126284">
        <w:t>n</w:t>
      </w:r>
      <w:r w:rsidR="00133016">
        <w:t xml:space="preserve"> behalf of the State Controller on___________.</w:t>
      </w:r>
    </w:p>
    <w:p w14:paraId="7FF9BB49" w14:textId="77777777" w:rsidR="00FC7F01" w:rsidRDefault="00674DF4" w:rsidP="00FC7F01">
      <w:pPr>
        <w:pStyle w:val="Heading1"/>
      </w:pPr>
      <w:bookmarkStart w:id="58" w:name="_Toc68532153"/>
      <w:r>
        <w:lastRenderedPageBreak/>
        <w:t>Chart of Accounts</w:t>
      </w:r>
      <w:r w:rsidR="00FC7F01">
        <w:t xml:space="preserve"> Design</w:t>
      </w:r>
      <w:bookmarkEnd w:id="58"/>
    </w:p>
    <w:p w14:paraId="2A92E8CA" w14:textId="033A0479" w:rsidR="000C64BC" w:rsidRPr="00431B1D" w:rsidRDefault="000C64BC" w:rsidP="00D3106F">
      <w:pPr>
        <w:pStyle w:val="Bodycopy"/>
      </w:pPr>
      <w:r>
        <w:t xml:space="preserve">Section 3 provides detailed information about each </w:t>
      </w:r>
      <w:r w:rsidR="00674DF4">
        <w:t>Chart of Accounts</w:t>
      </w:r>
      <w:r>
        <w:t xml:space="preserve"> dimension </w:t>
      </w:r>
      <w:r w:rsidR="00FD632C">
        <w:t xml:space="preserve">including the </w:t>
      </w:r>
      <w:r w:rsidR="00431B1D">
        <w:t>purpose</w:t>
      </w:r>
      <w:r w:rsidR="0067643C">
        <w:t>,</w:t>
      </w:r>
      <w:r w:rsidR="00431B1D">
        <w:t xml:space="preserve"> rationale</w:t>
      </w:r>
      <w:r w:rsidR="0067643C">
        <w:t>, and default hierarchy description</w:t>
      </w:r>
      <w:r w:rsidR="00126284">
        <w:t xml:space="preserve"> with k</w:t>
      </w:r>
      <w:r w:rsidR="00431B1D">
        <w:t>ey information about the dimension format (keying order, posting level, field length, etc.)</w:t>
      </w:r>
      <w:r w:rsidR="00126284">
        <w:t xml:space="preserve"> following</w:t>
      </w:r>
      <w:r w:rsidR="0067643C">
        <w:t xml:space="preserve">. </w:t>
      </w:r>
      <w:r w:rsidR="00431B1D">
        <w:t xml:space="preserve"> </w:t>
      </w:r>
    </w:p>
    <w:p w14:paraId="60F95E3B" w14:textId="77777777" w:rsidR="00FC7F01" w:rsidRDefault="00FC7F01" w:rsidP="00270473">
      <w:pPr>
        <w:pStyle w:val="Heading2"/>
      </w:pPr>
      <w:bookmarkStart w:id="59" w:name="_Toc68532154"/>
      <w:r>
        <w:t>Agency</w:t>
      </w:r>
      <w:bookmarkEnd w:id="59"/>
    </w:p>
    <w:p w14:paraId="59A0D6E6" w14:textId="77777777" w:rsidR="003B11E9" w:rsidRPr="003B11E9" w:rsidRDefault="003B11E9" w:rsidP="00121DB3">
      <w:pPr>
        <w:spacing w:after="120"/>
        <w:rPr>
          <w:u w:val="single"/>
        </w:rPr>
      </w:pPr>
      <w:r w:rsidRPr="00145CC7">
        <w:rPr>
          <w:u w:val="single"/>
        </w:rPr>
        <w:t>Dimension Purpose</w:t>
      </w:r>
      <w:r>
        <w:rPr>
          <w:u w:val="single"/>
        </w:rPr>
        <w:t xml:space="preserve"> and Usage</w:t>
      </w:r>
    </w:p>
    <w:p w14:paraId="0A610AC0" w14:textId="77777777" w:rsidR="003B11E9" w:rsidRPr="00FA3D41" w:rsidRDefault="003B11E9" w:rsidP="00121DB3">
      <w:pPr>
        <w:spacing w:after="120"/>
        <w:rPr>
          <w:color w:val="FF0000"/>
        </w:rPr>
      </w:pPr>
      <w:r>
        <w:t>Purpose Definition</w:t>
      </w:r>
      <w:r>
        <w:tab/>
      </w:r>
      <w:r w:rsidR="00121DB3">
        <w:tab/>
        <w:t xml:space="preserve">          </w:t>
      </w:r>
      <w:r w:rsidRPr="005709E4">
        <w:rPr>
          <w:i/>
        </w:rPr>
        <w:t>Used to identify the state agency.</w:t>
      </w:r>
      <w:r w:rsidRPr="002630ED">
        <w:t xml:space="preserve"> </w:t>
      </w:r>
    </w:p>
    <w:p w14:paraId="47E62F62" w14:textId="37DC03EC" w:rsidR="003B11E9" w:rsidRDefault="003B11E9" w:rsidP="00121DB3">
      <w:pPr>
        <w:spacing w:after="120"/>
        <w:ind w:left="3450" w:hanging="3450"/>
      </w:pPr>
      <w:r>
        <w:t>Purpose Rationale</w:t>
      </w:r>
      <w:r>
        <w:tab/>
        <w:t xml:space="preserve">Within </w:t>
      </w:r>
      <w:r w:rsidR="00450F58">
        <w:t>Luma</w:t>
      </w:r>
      <w:r>
        <w:t xml:space="preserve">, all financial activity is accounted for by individual </w:t>
      </w:r>
      <w:r w:rsidR="00431B1D">
        <w:t xml:space="preserve">State </w:t>
      </w:r>
      <w:r>
        <w:t xml:space="preserve">agency and then aggregated for </w:t>
      </w:r>
      <w:r w:rsidR="003A04BB">
        <w:t xml:space="preserve">statewide </w:t>
      </w:r>
      <w:r>
        <w:t xml:space="preserve">financial reporting. The Agency dimension is critical in allowing the </w:t>
      </w:r>
      <w:r w:rsidR="00431B1D">
        <w:t xml:space="preserve">State </w:t>
      </w:r>
      <w:r>
        <w:t xml:space="preserve">to post and group transactions by state agency. This practice is supported by Idaho Code Titles 1 and 67 which provide for the establishment and structure of the three branches of </w:t>
      </w:r>
      <w:r w:rsidR="00431B1D">
        <w:t xml:space="preserve">State </w:t>
      </w:r>
      <w:r>
        <w:t>government and their further subdivision, comprise</w:t>
      </w:r>
      <w:r w:rsidR="007B0852">
        <w:t>d</w:t>
      </w:r>
      <w:r w:rsidR="009135D0">
        <w:t xml:space="preserve"> of</w:t>
      </w:r>
      <w:r w:rsidR="007B0852">
        <w:t xml:space="preserve"> </w:t>
      </w:r>
      <w:r w:rsidR="004421A3">
        <w:t>approximately</w:t>
      </w:r>
      <w:r w:rsidR="003F4AA2">
        <w:t xml:space="preserve"> </w:t>
      </w:r>
      <w:r w:rsidR="00F24BA7">
        <w:t>83</w:t>
      </w:r>
      <w:r>
        <w:t xml:space="preserve"> state agencies that will conduct transactions in </w:t>
      </w:r>
      <w:r w:rsidR="003A04BB">
        <w:t>Luma</w:t>
      </w:r>
      <w:r>
        <w:t>.</w:t>
      </w:r>
    </w:p>
    <w:p w14:paraId="64B48EF4" w14:textId="77777777" w:rsidR="003B11E9" w:rsidRPr="003B11E9" w:rsidRDefault="003B11E9" w:rsidP="00121DB3">
      <w:pPr>
        <w:spacing w:after="120"/>
        <w:rPr>
          <w:u w:val="single"/>
        </w:rPr>
      </w:pPr>
      <w:r>
        <w:rPr>
          <w:u w:val="single"/>
        </w:rPr>
        <w:t xml:space="preserve">Dimension </w:t>
      </w:r>
      <w:r w:rsidRPr="00145CC7">
        <w:rPr>
          <w:u w:val="single"/>
        </w:rPr>
        <w:t>Format</w:t>
      </w:r>
    </w:p>
    <w:p w14:paraId="7DDD03FF" w14:textId="77777777" w:rsidR="003B11E9" w:rsidRDefault="003B11E9" w:rsidP="003B11E9">
      <w:pPr>
        <w:spacing w:after="120"/>
      </w:pPr>
      <w:r>
        <w:t>Format Definitions</w:t>
      </w:r>
    </w:p>
    <w:p w14:paraId="22EF5A47" w14:textId="77777777" w:rsidR="003B11E9" w:rsidRDefault="003B11E9" w:rsidP="003B11E9">
      <w:pPr>
        <w:spacing w:after="120"/>
        <w:ind w:left="576" w:firstLine="576"/>
      </w:pPr>
      <w:r>
        <w:t>Keying Order</w:t>
      </w:r>
      <w:r>
        <w:tab/>
        <w:t xml:space="preserve">          </w:t>
      </w:r>
      <w:r w:rsidRPr="002630ED">
        <w:t xml:space="preserve">Placed first in </w:t>
      </w:r>
      <w:r>
        <w:t>d</w:t>
      </w:r>
      <w:r w:rsidRPr="002630ED">
        <w:t>imension order.</w:t>
      </w:r>
    </w:p>
    <w:p w14:paraId="53672D62" w14:textId="77777777" w:rsidR="003B11E9" w:rsidRDefault="003B11E9" w:rsidP="003B11E9">
      <w:pPr>
        <w:spacing w:after="120"/>
        <w:ind w:left="3447" w:hanging="2295"/>
      </w:pPr>
      <w:r>
        <w:t xml:space="preserve">Summary Level   </w:t>
      </w:r>
      <w:r>
        <w:tab/>
      </w:r>
      <w:r w:rsidRPr="00B32FBF">
        <w:t>There are no summary levels.</w:t>
      </w:r>
    </w:p>
    <w:p w14:paraId="3844EF67" w14:textId="7AA1C1AA" w:rsidR="003B11E9" w:rsidRDefault="003B11E9" w:rsidP="003B11E9">
      <w:pPr>
        <w:spacing w:after="120"/>
        <w:ind w:left="3447" w:hanging="2295"/>
      </w:pPr>
      <w:r>
        <w:t>Posting Level</w:t>
      </w:r>
      <w:r>
        <w:tab/>
      </w:r>
      <w:r w:rsidRPr="005E5490">
        <w:rPr>
          <w:b/>
        </w:rPr>
        <w:t>Agency</w:t>
      </w:r>
      <w:r w:rsidR="00AD3039">
        <w:t xml:space="preserve">. </w:t>
      </w:r>
      <w:r>
        <w:t>Required</w:t>
      </w:r>
      <w:r w:rsidR="00AD3039">
        <w:t xml:space="preserve">. </w:t>
      </w:r>
      <w:r w:rsidRPr="005E5490">
        <w:t>This</w:t>
      </w:r>
      <w:r w:rsidRPr="00B32FBF">
        <w:t xml:space="preserve"> dimension has </w:t>
      </w:r>
      <w:r>
        <w:t xml:space="preserve">only </w:t>
      </w:r>
      <w:r w:rsidRPr="00B32FBF">
        <w:t>one level</w:t>
      </w:r>
      <w:r>
        <w:t>,</w:t>
      </w:r>
      <w:r w:rsidRPr="00B32FBF">
        <w:t xml:space="preserve"> the posting level, which is a unique 3</w:t>
      </w:r>
      <w:r>
        <w:t>-</w:t>
      </w:r>
      <w:r w:rsidRPr="00B32FBF">
        <w:t>digit code used to identify the agency.</w:t>
      </w:r>
      <w:r w:rsidR="001F5705">
        <w:t xml:space="preserve"> Centrally managed.</w:t>
      </w:r>
    </w:p>
    <w:p w14:paraId="47A12459" w14:textId="77777777" w:rsidR="003B11E9" w:rsidRDefault="003B11E9" w:rsidP="003B11E9">
      <w:pPr>
        <w:spacing w:after="120"/>
        <w:ind w:left="576" w:firstLine="576"/>
      </w:pPr>
      <w:r>
        <w:t>Number of Levels</w:t>
      </w:r>
      <w:r>
        <w:tab/>
        <w:t xml:space="preserve">          </w:t>
      </w:r>
      <w:r w:rsidRPr="00B32FBF">
        <w:t>One.</w:t>
      </w:r>
    </w:p>
    <w:p w14:paraId="0BFC53AF" w14:textId="22FA06F5" w:rsidR="003B11E9" w:rsidRDefault="003B11E9" w:rsidP="003B11E9">
      <w:pPr>
        <w:spacing w:after="120"/>
        <w:ind w:left="3447" w:hanging="2295"/>
      </w:pPr>
      <w:r>
        <w:t>Field Length Min</w:t>
      </w:r>
      <w:r>
        <w:tab/>
      </w:r>
      <w:r w:rsidRPr="002630ED">
        <w:t>Minimum 3 characters</w:t>
      </w:r>
      <w:r w:rsidR="00AD3039">
        <w:t xml:space="preserve">: </w:t>
      </w:r>
      <w:r w:rsidRPr="002630ED">
        <w:t>Agency code (</w:t>
      </w:r>
      <w:r>
        <w:t>INTEGER</w:t>
      </w:r>
      <w:r w:rsidRPr="002630ED">
        <w:t>, 3).</w:t>
      </w:r>
      <w:r w:rsidRPr="003A5C56">
        <w:t xml:space="preserve"> Determined by the State Controller’s Office (SCO).</w:t>
      </w:r>
      <w:r w:rsidR="001C65C1">
        <w:t xml:space="preserve"> Centrally managed.</w:t>
      </w:r>
    </w:p>
    <w:p w14:paraId="6A2322E2" w14:textId="6F80E09F" w:rsidR="003B11E9" w:rsidRDefault="003B11E9" w:rsidP="003B11E9">
      <w:pPr>
        <w:spacing w:after="120"/>
        <w:ind w:left="3447" w:hanging="2295"/>
      </w:pPr>
      <w:r>
        <w:t>Field Length Max</w:t>
      </w:r>
      <w:r>
        <w:tab/>
      </w:r>
      <w:r w:rsidRPr="00B32FBF">
        <w:t>Maximum 3 characters</w:t>
      </w:r>
      <w:r w:rsidR="00AD3039">
        <w:t xml:space="preserve">: </w:t>
      </w:r>
      <w:r w:rsidRPr="00B32FBF">
        <w:t>Agency code (</w:t>
      </w:r>
      <w:r>
        <w:t>INTEGER</w:t>
      </w:r>
      <w:r w:rsidRPr="00B32FBF">
        <w:t xml:space="preserve">, 3). </w:t>
      </w:r>
      <w:r w:rsidRPr="003A5C56">
        <w:t>Determined by the State Controller’s Office (SCO).</w:t>
      </w:r>
      <w:r w:rsidR="001C65C1">
        <w:t xml:space="preserve"> Centrally managed.</w:t>
      </w:r>
    </w:p>
    <w:p w14:paraId="60FE2EC9" w14:textId="77777777" w:rsidR="003B11E9" w:rsidRDefault="003B11E9" w:rsidP="003B11E9">
      <w:pPr>
        <w:spacing w:after="120"/>
      </w:pPr>
      <w:r>
        <w:t xml:space="preserve">Format Rationale  </w:t>
      </w:r>
    </w:p>
    <w:p w14:paraId="1255CA6F" w14:textId="1744B3A0" w:rsidR="003B11E9" w:rsidRPr="00143086" w:rsidRDefault="003B11E9" w:rsidP="003B11E9">
      <w:pPr>
        <w:spacing w:after="120"/>
        <w:ind w:left="3447" w:hanging="2295"/>
      </w:pPr>
      <w:r>
        <w:t>Keying Order</w:t>
      </w:r>
      <w:r>
        <w:tab/>
        <w:t>For most agencies, this field will not be keyed</w:t>
      </w:r>
      <w:r w:rsidR="006F0B69">
        <w:t xml:space="preserve">, but rather defaulted based on user </w:t>
      </w:r>
      <w:r w:rsidR="002B2CFE">
        <w:t>login identification number</w:t>
      </w:r>
      <w:r w:rsidR="00AD3039">
        <w:t xml:space="preserve">. </w:t>
      </w:r>
      <w:r>
        <w:t xml:space="preserve">The Agency dimension is a parent to the Organizational Unit dimension and, therefore, precedes the Organizational Unit dimension in keying order for those agencies that may key transactions for </w:t>
      </w:r>
      <w:r w:rsidRPr="00143086">
        <w:t>multiple state agencies.</w:t>
      </w:r>
    </w:p>
    <w:p w14:paraId="0043D002" w14:textId="77777777" w:rsidR="003B11E9" w:rsidRPr="00143086" w:rsidRDefault="003B11E9" w:rsidP="003B11E9">
      <w:pPr>
        <w:spacing w:after="120"/>
        <w:ind w:left="3447" w:hanging="2295"/>
        <w:rPr>
          <w:color w:val="FF0000"/>
        </w:rPr>
      </w:pPr>
      <w:r w:rsidRPr="00143086">
        <w:t>Posting Level</w:t>
      </w:r>
      <w:r w:rsidRPr="00143086">
        <w:tab/>
        <w:t>There is only one level within the hierarchy</w:t>
      </w:r>
      <w:r w:rsidR="00AD3039" w:rsidRPr="00143086">
        <w:t xml:space="preserve">. </w:t>
      </w:r>
      <w:r w:rsidRPr="00143086">
        <w:t xml:space="preserve">Both reporting and posting happen at the posting level. </w:t>
      </w:r>
    </w:p>
    <w:p w14:paraId="448F7B5F" w14:textId="77777777" w:rsidR="00F300C9" w:rsidRPr="00143086" w:rsidRDefault="003B11E9" w:rsidP="00F300C9">
      <w:pPr>
        <w:ind w:left="432" w:firstLine="720"/>
      </w:pPr>
      <w:r w:rsidRPr="00143086">
        <w:t>Number of Levels/</w:t>
      </w:r>
      <w:r w:rsidR="00F300C9" w:rsidRPr="00143086">
        <w:tab/>
      </w:r>
      <w:r w:rsidR="00F300C9" w:rsidRPr="00143086">
        <w:tab/>
      </w:r>
    </w:p>
    <w:p w14:paraId="4F7CD084" w14:textId="69AB64B8" w:rsidR="006F0D98" w:rsidRDefault="003B11E9" w:rsidP="00317007">
      <w:pPr>
        <w:spacing w:afterLines="60" w:after="144"/>
        <w:ind w:left="3456" w:hanging="2280"/>
      </w:pPr>
      <w:r w:rsidRPr="00143086">
        <w:t>Number of Children</w:t>
      </w:r>
      <w:r w:rsidR="00143086" w:rsidRPr="00143086">
        <w:t xml:space="preserve">         </w:t>
      </w:r>
      <w:proofErr w:type="gramStart"/>
      <w:r w:rsidRPr="00143086">
        <w:t>The</w:t>
      </w:r>
      <w:proofErr w:type="gramEnd"/>
      <w:r w:rsidRPr="00143086">
        <w:t xml:space="preserve"> Agency dimension has a flat hierarchy</w:t>
      </w:r>
      <w:r w:rsidR="00AD3039" w:rsidRPr="00143086">
        <w:t xml:space="preserve">. </w:t>
      </w:r>
      <w:r w:rsidRPr="00143086">
        <w:t>There are no additional levels</w:t>
      </w:r>
      <w:r w:rsidR="00250B55">
        <w:t>.</w:t>
      </w:r>
    </w:p>
    <w:p w14:paraId="02583A7D" w14:textId="77777777" w:rsidR="003B11E9" w:rsidRPr="009869CE" w:rsidRDefault="003B11E9" w:rsidP="00317007">
      <w:pPr>
        <w:spacing w:afterLines="60" w:after="144"/>
        <w:ind w:left="3456"/>
      </w:pPr>
      <w:r>
        <w:t>The COA Redesign Workgroup contemplated adding a summary level above the agency posting level within the hierarchy of this dimension</w:t>
      </w:r>
      <w:r w:rsidR="00AD3039">
        <w:t xml:space="preserve">. </w:t>
      </w:r>
      <w:r>
        <w:t>The summary level would</w:t>
      </w:r>
      <w:r w:rsidR="00F65F8E">
        <w:t xml:space="preserve"> </w:t>
      </w:r>
      <w:r>
        <w:t xml:space="preserve">include the three branches </w:t>
      </w:r>
      <w:r>
        <w:lastRenderedPageBreak/>
        <w:t xml:space="preserve">(executive, judicial, and legislative) of </w:t>
      </w:r>
      <w:r w:rsidR="00431B1D">
        <w:t xml:space="preserve">State </w:t>
      </w:r>
      <w:r>
        <w:t xml:space="preserve">government. The purpose of adding a summary level would be to facilitate reporting by the three branches of </w:t>
      </w:r>
      <w:r w:rsidR="00431B1D">
        <w:t xml:space="preserve">State </w:t>
      </w:r>
      <w:r>
        <w:t>government</w:t>
      </w:r>
      <w:r w:rsidR="00AD3039">
        <w:t xml:space="preserve">. </w:t>
      </w:r>
      <w:r>
        <w:t xml:space="preserve">Due to system limitations within </w:t>
      </w:r>
      <w:r w:rsidR="005C6BE3">
        <w:t>Luma</w:t>
      </w:r>
      <w:r>
        <w:t>, it is not possible to add hierarchies in this dimension</w:t>
      </w:r>
      <w:r w:rsidR="00AD3039">
        <w:t xml:space="preserve">. </w:t>
      </w:r>
      <w:r>
        <w:t xml:space="preserve">The workgroup determined that functionality within the application to group </w:t>
      </w:r>
      <w:r w:rsidR="00431B1D">
        <w:t xml:space="preserve">State </w:t>
      </w:r>
      <w:r>
        <w:t xml:space="preserve">agencies for aggregated reporting would suffice. </w:t>
      </w:r>
    </w:p>
    <w:p w14:paraId="0DC87B6B" w14:textId="77777777" w:rsidR="003B11E9" w:rsidRPr="006A27D1" w:rsidRDefault="003B11E9" w:rsidP="00121DB3">
      <w:pPr>
        <w:spacing w:after="120"/>
        <w:ind w:left="3456" w:hanging="2376"/>
      </w:pPr>
      <w:r>
        <w:t>Field Length Min/Max</w:t>
      </w:r>
      <w:r w:rsidR="00121DB3">
        <w:tab/>
      </w:r>
      <w:proofErr w:type="gramStart"/>
      <w:r w:rsidRPr="00E33A63">
        <w:t>The</w:t>
      </w:r>
      <w:proofErr w:type="gramEnd"/>
      <w:r w:rsidRPr="00E33A63">
        <w:t xml:space="preserve"> </w:t>
      </w:r>
      <w:r>
        <w:t>COA Redesign Workgroup contemplated the optimal numbering format for this dimension, discussing the pros and cons of deviating from</w:t>
      </w:r>
      <w:r w:rsidRPr="00E33A63">
        <w:t xml:space="preserve"> the </w:t>
      </w:r>
      <w:r w:rsidR="00B24C95" w:rsidRPr="00E33A63">
        <w:t>3-digit</w:t>
      </w:r>
      <w:r>
        <w:t xml:space="preserve"> a</w:t>
      </w:r>
      <w:r w:rsidRPr="00E33A63">
        <w:t xml:space="preserve">gency codes </w:t>
      </w:r>
      <w:r>
        <w:t>used in the legacy STARS system</w:t>
      </w:r>
      <w:r w:rsidR="00AD3039">
        <w:t xml:space="preserve">. </w:t>
      </w:r>
      <w:r w:rsidRPr="00E33A63">
        <w:t>Using a 2</w:t>
      </w:r>
      <w:r>
        <w:t>-</w:t>
      </w:r>
      <w:r w:rsidRPr="00E33A63">
        <w:t>digit code would limit the system to 89 possible codes</w:t>
      </w:r>
      <w:r>
        <w:t xml:space="preserve"> (10-99)</w:t>
      </w:r>
      <w:r w:rsidRPr="00E33A63">
        <w:t xml:space="preserve">, as the system will not </w:t>
      </w:r>
      <w:r>
        <w:t xml:space="preserve">easily accommodate </w:t>
      </w:r>
      <w:r w:rsidRPr="00E33A63">
        <w:t xml:space="preserve">a leading </w:t>
      </w:r>
      <w:r>
        <w:t>zero</w:t>
      </w:r>
      <w:r w:rsidR="00AD3039">
        <w:t xml:space="preserve">. </w:t>
      </w:r>
      <w:r w:rsidRPr="00E33A63">
        <w:t>Using 3 digits increases that limit to 899</w:t>
      </w:r>
      <w:r>
        <w:t xml:space="preserve"> (100-999)</w:t>
      </w:r>
      <w:r w:rsidRPr="00E33A63">
        <w:t xml:space="preserve">. The </w:t>
      </w:r>
      <w:r w:rsidR="00D3106F">
        <w:t>Finance</w:t>
      </w:r>
      <w:r w:rsidRPr="00E33A63">
        <w:t xml:space="preserve"> team determined the need for more than </w:t>
      </w:r>
      <w:r>
        <w:t>900</w:t>
      </w:r>
      <w:r w:rsidRPr="00E33A63">
        <w:t xml:space="preserve"> agency codes is highly improbable</w:t>
      </w:r>
      <w:r>
        <w:t xml:space="preserve"> and did not see a compelling reason to depart from the numbers currently assigned to state agencies</w:t>
      </w:r>
      <w:r w:rsidRPr="00E33A63">
        <w:t>.</w:t>
      </w:r>
    </w:p>
    <w:p w14:paraId="5F337F94" w14:textId="77777777" w:rsidR="00FC7F01" w:rsidRDefault="00FC7F01" w:rsidP="00270473">
      <w:pPr>
        <w:pStyle w:val="Heading2"/>
      </w:pPr>
      <w:bookmarkStart w:id="60" w:name="_Toc68532155"/>
      <w:r>
        <w:t>Project</w:t>
      </w:r>
      <w:bookmarkEnd w:id="60"/>
    </w:p>
    <w:p w14:paraId="55B23B16" w14:textId="77777777" w:rsidR="00121DB3" w:rsidRPr="003D3733" w:rsidRDefault="00121DB3" w:rsidP="003D3733">
      <w:pPr>
        <w:spacing w:after="120"/>
        <w:rPr>
          <w:u w:val="single"/>
        </w:rPr>
      </w:pPr>
      <w:r w:rsidRPr="00145CC7">
        <w:rPr>
          <w:u w:val="single"/>
        </w:rPr>
        <w:t>Dimension Purpose</w:t>
      </w:r>
      <w:r>
        <w:rPr>
          <w:u w:val="single"/>
        </w:rPr>
        <w:t xml:space="preserve"> and Usage</w:t>
      </w:r>
    </w:p>
    <w:p w14:paraId="3191B188" w14:textId="77777777" w:rsidR="00121DB3" w:rsidRPr="00145CC7" w:rsidRDefault="00121DB3" w:rsidP="003D3733">
      <w:pPr>
        <w:spacing w:after="120"/>
        <w:ind w:left="3456" w:hanging="3456"/>
        <w:rPr>
          <w:i/>
        </w:rPr>
      </w:pPr>
      <w:r>
        <w:t>Purpose Definition</w:t>
      </w:r>
      <w:r>
        <w:tab/>
      </w:r>
      <w:r w:rsidRPr="00145CC7">
        <w:rPr>
          <w:i/>
        </w:rPr>
        <w:t xml:space="preserve">Used to capture transactional data on agency-specific activities or efforts usually with a planned end date. </w:t>
      </w:r>
    </w:p>
    <w:p w14:paraId="3D546F85" w14:textId="77777777" w:rsidR="00121DB3" w:rsidRPr="003D3733" w:rsidRDefault="00121DB3" w:rsidP="003D3733">
      <w:pPr>
        <w:spacing w:after="120"/>
        <w:ind w:left="3456"/>
        <w:rPr>
          <w:i/>
        </w:rPr>
      </w:pPr>
      <w:r w:rsidRPr="00145CC7">
        <w:rPr>
          <w:i/>
        </w:rPr>
        <w:t>May also be used to silo financial activity into a discrete ledger to simplify reconciliation and record-keeping</w:t>
      </w:r>
      <w:r>
        <w:rPr>
          <w:i/>
        </w:rPr>
        <w:t>. F</w:t>
      </w:r>
      <w:r w:rsidRPr="00145CC7">
        <w:rPr>
          <w:i/>
        </w:rPr>
        <w:t>or example: cost allocation pools, ongoing billings to outside entities for work performed, co-location and rental agreements, etc.</w:t>
      </w:r>
    </w:p>
    <w:p w14:paraId="6B47153C" w14:textId="11C001B1" w:rsidR="00121DB3" w:rsidRDefault="00121DB3" w:rsidP="003D3733">
      <w:pPr>
        <w:spacing w:after="120"/>
        <w:ind w:left="3456" w:hanging="3456"/>
      </w:pPr>
      <w:r>
        <w:t>Purpose Rationale</w:t>
      </w:r>
      <w:r>
        <w:tab/>
      </w:r>
      <w:proofErr w:type="gramStart"/>
      <w:r w:rsidR="00431B1D">
        <w:t>The</w:t>
      </w:r>
      <w:proofErr w:type="gramEnd"/>
      <w:r>
        <w:t xml:space="preserve"> Project dimension is a powerful tool that can be used by agencies to meet </w:t>
      </w:r>
      <w:r w:rsidR="00A740BB">
        <w:t>their</w:t>
      </w:r>
      <w:r>
        <w:t xml:space="preserve"> </w:t>
      </w:r>
      <w:r w:rsidR="00ED607B">
        <w:t>mission</w:t>
      </w:r>
      <w:r w:rsidR="00AD3039">
        <w:t xml:space="preserve">. </w:t>
      </w:r>
      <w:r>
        <w:t>In order to take full advantage of the functionality of the system, the COA Redesign Workgroup has elected to define the purpose of this dimension broadly to meet a variety of operational needs across agencies throughout the State</w:t>
      </w:r>
      <w:r w:rsidR="00AD3039">
        <w:t xml:space="preserve">. </w:t>
      </w:r>
      <w:r>
        <w:t>The purpose has been expanded well beyond the traditional “project” (building, capital, software, etc.), and includes a variety of examples to help agencies understand the broad spectrum of uses for which this dimension may be applied.</w:t>
      </w:r>
    </w:p>
    <w:p w14:paraId="2106896C" w14:textId="77777777" w:rsidR="00121DB3" w:rsidRPr="003D3733" w:rsidRDefault="00121DB3" w:rsidP="003D3733">
      <w:pPr>
        <w:spacing w:after="120"/>
        <w:rPr>
          <w:u w:val="single"/>
        </w:rPr>
      </w:pPr>
      <w:r>
        <w:rPr>
          <w:u w:val="single"/>
        </w:rPr>
        <w:t xml:space="preserve">Dimension </w:t>
      </w:r>
      <w:r w:rsidRPr="00145CC7">
        <w:rPr>
          <w:u w:val="single"/>
        </w:rPr>
        <w:t>Format</w:t>
      </w:r>
    </w:p>
    <w:p w14:paraId="12D2B9FF" w14:textId="77777777" w:rsidR="00121DB3" w:rsidRDefault="00121DB3" w:rsidP="003D3733">
      <w:pPr>
        <w:spacing w:after="120"/>
      </w:pPr>
      <w:r>
        <w:t>Format Definitions</w:t>
      </w:r>
    </w:p>
    <w:p w14:paraId="3936233C" w14:textId="60193E25" w:rsidR="00121DB3" w:rsidRDefault="00121DB3" w:rsidP="003D3733">
      <w:pPr>
        <w:spacing w:after="120"/>
        <w:ind w:left="576" w:firstLine="576"/>
      </w:pPr>
      <w:r>
        <w:t>Keying Order</w:t>
      </w:r>
      <w:r>
        <w:tab/>
        <w:t xml:space="preserve">          Placed second in dimension order.</w:t>
      </w:r>
    </w:p>
    <w:p w14:paraId="4371E9B5" w14:textId="79AF8C9F" w:rsidR="007E00A4" w:rsidRDefault="007E00A4" w:rsidP="00F94083">
      <w:pPr>
        <w:spacing w:after="120"/>
        <w:ind w:left="3447" w:hanging="2295"/>
      </w:pPr>
      <w:r>
        <w:t xml:space="preserve">Summary Level 1  </w:t>
      </w:r>
      <w:r>
        <w:tab/>
      </w:r>
      <w:r>
        <w:rPr>
          <w:b/>
        </w:rPr>
        <w:t>Project Level 1</w:t>
      </w:r>
      <w:r w:rsidRPr="00EA36DD">
        <w:t>.</w:t>
      </w:r>
      <w:r>
        <w:rPr>
          <w:b/>
        </w:rPr>
        <w:t xml:space="preserve"> </w:t>
      </w:r>
      <w:r>
        <w:t>Required. The highest summary level within the Project dimension.</w:t>
      </w:r>
      <w:r w:rsidR="00841711">
        <w:t xml:space="preserve"> Agency level.</w:t>
      </w:r>
    </w:p>
    <w:p w14:paraId="2F0F23A2" w14:textId="0EFE5036" w:rsidR="00121DB3" w:rsidRDefault="00121DB3" w:rsidP="008162CC">
      <w:pPr>
        <w:spacing w:after="120"/>
        <w:ind w:left="3447" w:hanging="2295"/>
      </w:pPr>
      <w:r>
        <w:t xml:space="preserve">Summary Level </w:t>
      </w:r>
      <w:r w:rsidR="007E00A4">
        <w:t>2</w:t>
      </w:r>
      <w:r w:rsidR="009D0444">
        <w:t>+</w:t>
      </w:r>
      <w:r>
        <w:t xml:space="preserve">  </w:t>
      </w:r>
      <w:r>
        <w:tab/>
      </w:r>
      <w:r>
        <w:rPr>
          <w:b/>
        </w:rPr>
        <w:t xml:space="preserve">Project Level </w:t>
      </w:r>
      <w:r w:rsidR="007E00A4">
        <w:rPr>
          <w:b/>
        </w:rPr>
        <w:t>2</w:t>
      </w:r>
      <w:r w:rsidR="009D0444">
        <w:rPr>
          <w:b/>
        </w:rPr>
        <w:t>+</w:t>
      </w:r>
      <w:r w:rsidR="00EA36DD" w:rsidRPr="00EA36DD">
        <w:t>.</w:t>
      </w:r>
      <w:r w:rsidR="00AD3039">
        <w:rPr>
          <w:b/>
        </w:rPr>
        <w:t xml:space="preserve"> </w:t>
      </w:r>
      <w:r w:rsidRPr="008B146F">
        <w:t>Optional</w:t>
      </w:r>
      <w:r w:rsidR="00AD3039">
        <w:t xml:space="preserve">. </w:t>
      </w:r>
      <w:r>
        <w:t>The summary level within the Project dimension determined by the agency</w:t>
      </w:r>
      <w:r w:rsidR="00AD3039">
        <w:t xml:space="preserve">. </w:t>
      </w:r>
      <w:r>
        <w:t xml:space="preserve">Agencies may want to use Summary Level </w:t>
      </w:r>
      <w:r w:rsidR="00423889">
        <w:t>2</w:t>
      </w:r>
      <w:r w:rsidR="009D0444">
        <w:t>+</w:t>
      </w:r>
      <w:r>
        <w:t xml:space="preserve"> to group projects by project type.</w:t>
      </w:r>
      <w:r w:rsidR="009D0444">
        <w:t xml:space="preserve"> Further granularity through hierarchy build-out to be determined by agency on a project by project basis, based on operational necessity.</w:t>
      </w:r>
      <w:r>
        <w:tab/>
      </w:r>
    </w:p>
    <w:p w14:paraId="72D6BA51" w14:textId="6F00C27E" w:rsidR="00121DB3" w:rsidRDefault="00121DB3" w:rsidP="003D3733">
      <w:pPr>
        <w:spacing w:after="120"/>
        <w:ind w:left="3447" w:hanging="2295"/>
      </w:pPr>
      <w:r>
        <w:t>Posting Level</w:t>
      </w:r>
      <w:r>
        <w:tab/>
        <w:t>Lowest level of hierarchy</w:t>
      </w:r>
      <w:r w:rsidR="00AD3039">
        <w:t xml:space="preserve">. </w:t>
      </w:r>
      <w:r>
        <w:t>Required if a project is set up</w:t>
      </w:r>
      <w:r w:rsidR="00AD3039">
        <w:t xml:space="preserve">. </w:t>
      </w:r>
      <w:r>
        <w:t>Determined by agency</w:t>
      </w:r>
      <w:r w:rsidR="00A740BB">
        <w:t>,</w:t>
      </w:r>
      <w:r>
        <w:t xml:space="preserve"> based on operational necessity.</w:t>
      </w:r>
    </w:p>
    <w:p w14:paraId="32B6A5AB" w14:textId="0B324B32" w:rsidR="00121DB3" w:rsidRDefault="00121DB3" w:rsidP="003D3733">
      <w:pPr>
        <w:spacing w:after="120"/>
        <w:ind w:left="576" w:firstLine="576"/>
      </w:pPr>
      <w:r>
        <w:lastRenderedPageBreak/>
        <w:t>Number of Levels</w:t>
      </w:r>
      <w:r>
        <w:tab/>
        <w:t xml:space="preserve">          Unlimited</w:t>
      </w:r>
      <w:r w:rsidR="00AD3039">
        <w:t xml:space="preserve">. </w:t>
      </w:r>
      <w:r>
        <w:t>Determined by agency</w:t>
      </w:r>
      <w:r w:rsidR="00A740BB">
        <w:t>,</w:t>
      </w:r>
      <w:r>
        <w:t xml:space="preserve"> based on set-up needs.</w:t>
      </w:r>
    </w:p>
    <w:p w14:paraId="23FE6EDC" w14:textId="237B748A" w:rsidR="00121DB3" w:rsidRDefault="00121DB3" w:rsidP="003D3733">
      <w:pPr>
        <w:spacing w:after="120"/>
        <w:ind w:left="576" w:firstLine="576"/>
      </w:pPr>
      <w:r>
        <w:t>Number of Children          Unlimited</w:t>
      </w:r>
      <w:r w:rsidR="00AD3039">
        <w:t xml:space="preserve">. </w:t>
      </w:r>
      <w:r>
        <w:t>Determined by agency</w:t>
      </w:r>
      <w:r w:rsidR="00A740BB">
        <w:t>,</w:t>
      </w:r>
      <w:r>
        <w:t xml:space="preserve"> based on set-up needs.</w:t>
      </w:r>
    </w:p>
    <w:p w14:paraId="72EFAA50" w14:textId="099783DC" w:rsidR="00121DB3" w:rsidRDefault="00121DB3" w:rsidP="003D3733">
      <w:pPr>
        <w:spacing w:after="120"/>
        <w:ind w:left="3447" w:hanging="2295"/>
      </w:pPr>
      <w:r>
        <w:t>Field Length Min</w:t>
      </w:r>
      <w:r>
        <w:tab/>
        <w:t xml:space="preserve">Minimum </w:t>
      </w:r>
      <w:r w:rsidR="00B85377">
        <w:t>3</w:t>
      </w:r>
      <w:r>
        <w:t xml:space="preserve"> characters</w:t>
      </w:r>
      <w:r w:rsidR="00AD3039">
        <w:t xml:space="preserve">: </w:t>
      </w:r>
      <w:r w:rsidR="006F0B69">
        <w:t xml:space="preserve">Summary level 1 - </w:t>
      </w:r>
      <w:r>
        <w:t>Agency code (INTEGER, 3</w:t>
      </w:r>
      <w:r w:rsidR="00666D71">
        <w:t>)</w:t>
      </w:r>
      <w:r w:rsidR="00AD3039">
        <w:t>.</w:t>
      </w:r>
    </w:p>
    <w:p w14:paraId="6F65A856" w14:textId="2A42D959" w:rsidR="00121DB3" w:rsidRDefault="00121DB3" w:rsidP="003D3733">
      <w:pPr>
        <w:spacing w:after="120"/>
        <w:ind w:left="3447" w:hanging="2295"/>
      </w:pPr>
      <w:r>
        <w:t>Field Length Max</w:t>
      </w:r>
      <w:r>
        <w:tab/>
        <w:t xml:space="preserve">Maximum </w:t>
      </w:r>
      <w:r w:rsidR="00F16208">
        <w:t>25</w:t>
      </w:r>
      <w:r>
        <w:t xml:space="preserve"> characters</w:t>
      </w:r>
      <w:r w:rsidR="00AD3039">
        <w:t xml:space="preserve">: </w:t>
      </w:r>
      <w:r w:rsidR="006F0B69">
        <w:t xml:space="preserve">Subsequent levels - </w:t>
      </w:r>
      <w:r>
        <w:t>Agency code (INTEGER, 3) plus (ALPHANUMERIC,</w:t>
      </w:r>
      <w:r w:rsidR="00EF5E0A">
        <w:t xml:space="preserve"> </w:t>
      </w:r>
      <w:r w:rsidR="00F16208">
        <w:t>22</w:t>
      </w:r>
      <w:r>
        <w:t>)</w:t>
      </w:r>
      <w:r w:rsidR="00AD3039">
        <w:t xml:space="preserve">. </w:t>
      </w:r>
      <w:r>
        <w:t>Determined by agency</w:t>
      </w:r>
      <w:r w:rsidR="00A740BB">
        <w:t>,</w:t>
      </w:r>
      <w:r>
        <w:t xml:space="preserve"> based on set-up needs.</w:t>
      </w:r>
    </w:p>
    <w:p w14:paraId="29F7CD06" w14:textId="77777777" w:rsidR="00121DB3" w:rsidRDefault="00121DB3" w:rsidP="003D3733">
      <w:pPr>
        <w:spacing w:after="120"/>
      </w:pPr>
      <w:r>
        <w:t xml:space="preserve">Format Rationale  </w:t>
      </w:r>
    </w:p>
    <w:p w14:paraId="22813AAB" w14:textId="6A2F0048" w:rsidR="00121DB3" w:rsidRDefault="00121DB3" w:rsidP="003D3733">
      <w:pPr>
        <w:tabs>
          <w:tab w:val="left" w:pos="1170"/>
        </w:tabs>
        <w:spacing w:after="120"/>
        <w:ind w:left="3447" w:hanging="2295"/>
      </w:pPr>
      <w:r>
        <w:t>Keying Order</w:t>
      </w:r>
      <w:r>
        <w:tab/>
      </w:r>
      <w:r w:rsidR="00A740BB">
        <w:t>Luma</w:t>
      </w:r>
      <w:r>
        <w:t xml:space="preserve"> allows for downstream pairing and defaulting when keying transactions</w:t>
      </w:r>
      <w:r w:rsidR="00AD3039">
        <w:t xml:space="preserve">. </w:t>
      </w:r>
      <w:r>
        <w:t>By placing the Project dimension second in the keying order, just after the Agency dimension, agencies can pair or default one or more downstream</w:t>
      </w:r>
      <w:r w:rsidR="00D96666">
        <w:t xml:space="preserve"> dimension</w:t>
      </w:r>
      <w:r w:rsidR="002C4287">
        <w:t>s</w:t>
      </w:r>
      <w:r w:rsidR="00D96666">
        <w:t xml:space="preserve"> </w:t>
      </w:r>
      <w:r>
        <w:t>to reduce or eliminate unnecessary keying</w:t>
      </w:r>
      <w:r w:rsidR="00AD3039">
        <w:t xml:space="preserve">. </w:t>
      </w:r>
      <w:r>
        <w:t xml:space="preserve">This will increase efficiency and </w:t>
      </w:r>
      <w:r w:rsidR="00C666AB">
        <w:t>reduce</w:t>
      </w:r>
      <w:r>
        <w:t xml:space="preserve"> errors.</w:t>
      </w:r>
    </w:p>
    <w:p w14:paraId="67034D55" w14:textId="560C8A27" w:rsidR="00167C8F" w:rsidRDefault="00167C8F" w:rsidP="00F94083">
      <w:pPr>
        <w:spacing w:after="120"/>
        <w:ind w:left="3447" w:hanging="2295"/>
      </w:pPr>
      <w:r>
        <w:t xml:space="preserve">Summary Level 1  </w:t>
      </w:r>
      <w:r>
        <w:tab/>
      </w:r>
      <w:r w:rsidR="00FC7684">
        <w:t xml:space="preserve">Agency level. </w:t>
      </w:r>
      <w:r w:rsidR="00A44527">
        <w:t>Centrally</w:t>
      </w:r>
      <w:r w:rsidR="003755D9">
        <w:t>-</w:t>
      </w:r>
      <w:r w:rsidR="00A44527">
        <w:t>managed</w:t>
      </w:r>
      <w:r>
        <w:t xml:space="preserve"> </w:t>
      </w:r>
      <w:r w:rsidR="003755D9">
        <w:t>summary level</w:t>
      </w:r>
      <w:r w:rsidR="004A2871">
        <w:t xml:space="preserve"> but </w:t>
      </w:r>
      <w:r>
        <w:t>agencies</w:t>
      </w:r>
      <w:r w:rsidR="004A2871">
        <w:t xml:space="preserve"> </w:t>
      </w:r>
      <w:r>
        <w:t>c</w:t>
      </w:r>
      <w:r w:rsidR="007850C2">
        <w:t>ontrol</w:t>
      </w:r>
      <w:r>
        <w:t xml:space="preserve"> the description.</w:t>
      </w:r>
    </w:p>
    <w:p w14:paraId="722B1C64" w14:textId="2046D4E7" w:rsidR="00121DB3" w:rsidRDefault="00121DB3" w:rsidP="008162CC">
      <w:pPr>
        <w:spacing w:after="120"/>
        <w:ind w:left="3447" w:hanging="2295"/>
      </w:pPr>
      <w:r>
        <w:t xml:space="preserve">Summary Level </w:t>
      </w:r>
      <w:r w:rsidR="00167C8F">
        <w:t>2</w:t>
      </w:r>
      <w:r w:rsidR="009D0444">
        <w:t>+</w:t>
      </w:r>
      <w:r>
        <w:t xml:space="preserve">  </w:t>
      </w:r>
      <w:r>
        <w:tab/>
        <w:t>Agencies</w:t>
      </w:r>
      <w:r w:rsidR="00167C8F">
        <w:t xml:space="preserve"> manage </w:t>
      </w:r>
      <w:r w:rsidR="009D0444">
        <w:t>additional levels</w:t>
      </w:r>
      <w:r w:rsidR="00167C8F">
        <w:t xml:space="preserve"> </w:t>
      </w:r>
      <w:r>
        <w:t>to build out the Project dimension to</w:t>
      </w:r>
      <w:r w:rsidR="00167C8F">
        <w:t xml:space="preserve"> </w:t>
      </w:r>
      <w:r w:rsidR="00A740BB">
        <w:t>meet their needs</w:t>
      </w:r>
      <w:r w:rsidR="00AD3039">
        <w:t xml:space="preserve">. </w:t>
      </w:r>
      <w:r>
        <w:t>Agencies may find it useful to group projects by type or category in order to maintain a system of organization.</w:t>
      </w:r>
      <w:r w:rsidR="009D0444">
        <w:t xml:space="preserve"> While some projects will be relatively flat (cost pools, for example), other projects may have complex set-ups to track project costs by phase, task, or activity.</w:t>
      </w:r>
      <w:r>
        <w:tab/>
      </w:r>
    </w:p>
    <w:p w14:paraId="7AED2528" w14:textId="4D2AE9C1" w:rsidR="00121DB3" w:rsidRDefault="00121DB3" w:rsidP="003D3733">
      <w:pPr>
        <w:spacing w:after="120"/>
        <w:ind w:left="3447" w:hanging="2295"/>
      </w:pPr>
      <w:r>
        <w:t>Posting Level</w:t>
      </w:r>
      <w:r>
        <w:tab/>
        <w:t>Reporting may be done at any level within a hierarch</w:t>
      </w:r>
      <w:r w:rsidR="00B35853">
        <w:t>y</w:t>
      </w:r>
      <w:r>
        <w:t xml:space="preserve"> but posting occurs only at the lowest level of any hierarchy within </w:t>
      </w:r>
      <w:r w:rsidR="00450F58">
        <w:t>Luma</w:t>
      </w:r>
      <w:r w:rsidR="00AD3039">
        <w:t xml:space="preserve">. </w:t>
      </w:r>
    </w:p>
    <w:p w14:paraId="76B7610B" w14:textId="77777777" w:rsidR="00F300C9" w:rsidRDefault="00121DB3" w:rsidP="007B4006">
      <w:pPr>
        <w:ind w:left="1166"/>
      </w:pPr>
      <w:r>
        <w:t>Number of Levels/</w:t>
      </w:r>
    </w:p>
    <w:p w14:paraId="7412EA63" w14:textId="77777777" w:rsidR="00121DB3" w:rsidRDefault="00121DB3" w:rsidP="007B4006">
      <w:pPr>
        <w:spacing w:after="120"/>
        <w:ind w:left="3420" w:hanging="2250"/>
      </w:pPr>
      <w:r>
        <w:t>Number of Children</w:t>
      </w:r>
      <w:r w:rsidR="007B4006">
        <w:tab/>
      </w:r>
      <w:r>
        <w:t>Unlimited number of “children” can be created from one “parent” within any level of a project hierarchy</w:t>
      </w:r>
      <w:r w:rsidR="00AD3039">
        <w:t xml:space="preserve">. </w:t>
      </w:r>
      <w:r w:rsidR="00450F58">
        <w:t>Luma</w:t>
      </w:r>
      <w:r w:rsidR="0033064D">
        <w:t xml:space="preserve"> </w:t>
      </w:r>
      <w:r>
        <w:t>allows users to add unlimited levels within a hierarchy and to create an unlimited number of children from a parent, providing maximum flexibility to agencies to structure their projects as deep and as broad as needed to achieve operational, reporting, and billing needs.</w:t>
      </w:r>
    </w:p>
    <w:p w14:paraId="14B6E0DD" w14:textId="0217A611" w:rsidR="00277FB1" w:rsidRDefault="00277FB1" w:rsidP="007B4006">
      <w:pPr>
        <w:spacing w:after="120"/>
        <w:ind w:left="3420" w:hanging="2250"/>
      </w:pPr>
      <w:r>
        <w:t>Field Length Min/Max</w:t>
      </w:r>
      <w:r>
        <w:tab/>
      </w:r>
      <w:r w:rsidRPr="00277FB1">
        <w:t xml:space="preserve">In order to give agencies maximum flexibility in their numbering conventions for projects, while also avoiding the risk of using a project code already in use by another agency, all codes at all levels in the project dimension will start with the 3-digit agency code. In the STARS legacy system, the maximum cumulative number of characters available to agencies in the Grant and </w:t>
      </w:r>
      <w:r w:rsidR="00003477">
        <w:t xml:space="preserve">Grant </w:t>
      </w:r>
      <w:r w:rsidRPr="00277FB1">
        <w:t xml:space="preserve">Phase or Project Number and Project Phase fields is 8 alphanumeric. The Luma limitation for this dimension is 25 characters.  Luma Finance Team discussions led to the conclusion that some agencies may need up to the system max of 25 characters to meet their </w:t>
      </w:r>
      <w:r w:rsidR="00ED607B">
        <w:t>mission</w:t>
      </w:r>
      <w:r w:rsidRPr="00277FB1">
        <w:t xml:space="preserve">.  </w:t>
      </w:r>
    </w:p>
    <w:p w14:paraId="46DD2C5E" w14:textId="77777777" w:rsidR="00277FB1" w:rsidRDefault="00277FB1" w:rsidP="00270473">
      <w:pPr>
        <w:pStyle w:val="Heading2"/>
      </w:pPr>
      <w:bookmarkStart w:id="61" w:name="OLE_LINK6"/>
      <w:bookmarkStart w:id="62" w:name="_Toc68532156"/>
      <w:bookmarkEnd w:id="61"/>
      <w:r>
        <w:t>Organizational Unit</w:t>
      </w:r>
      <w:bookmarkEnd w:id="62"/>
    </w:p>
    <w:p w14:paraId="2DFBE0D3" w14:textId="77777777" w:rsidR="003D3733" w:rsidRPr="003D3733" w:rsidRDefault="003D3733" w:rsidP="00F23299">
      <w:pPr>
        <w:spacing w:after="120"/>
        <w:rPr>
          <w:u w:val="single"/>
        </w:rPr>
      </w:pPr>
      <w:r>
        <w:rPr>
          <w:u w:val="single"/>
        </w:rPr>
        <w:t>Dimension Purpose and Usage</w:t>
      </w:r>
    </w:p>
    <w:p w14:paraId="32ECCDDA" w14:textId="77777777" w:rsidR="003D3733" w:rsidRPr="003D3733" w:rsidRDefault="003D3733" w:rsidP="00F23299">
      <w:pPr>
        <w:spacing w:after="120"/>
        <w:ind w:left="3456" w:hanging="3456"/>
        <w:rPr>
          <w:i/>
        </w:rPr>
      </w:pPr>
      <w:r>
        <w:t>Purpose Definition</w:t>
      </w:r>
      <w:r>
        <w:tab/>
      </w:r>
      <w:r w:rsidRPr="00145CC7">
        <w:rPr>
          <w:i/>
        </w:rPr>
        <w:t xml:space="preserve">Used to </w:t>
      </w:r>
      <w:r>
        <w:rPr>
          <w:i/>
        </w:rPr>
        <w:t>Identify cost center and its place in an agency’s organizational structure.</w:t>
      </w:r>
    </w:p>
    <w:p w14:paraId="41A1FDCF" w14:textId="508032B9" w:rsidR="003D3733" w:rsidRDefault="003D3733" w:rsidP="00F23299">
      <w:pPr>
        <w:spacing w:after="120"/>
        <w:ind w:left="3456" w:hanging="3456"/>
      </w:pPr>
      <w:r>
        <w:lastRenderedPageBreak/>
        <w:t>Purpose Rationale</w:t>
      </w:r>
      <w:r>
        <w:tab/>
        <w:t xml:space="preserve">Organizational structure and associated accounting activity are integral parts of State </w:t>
      </w:r>
      <w:r w:rsidR="00C666AB">
        <w:t xml:space="preserve">of Idaho </w:t>
      </w:r>
      <w:r>
        <w:t>financial reporting and tracking</w:t>
      </w:r>
      <w:r w:rsidR="00AD3039">
        <w:t xml:space="preserve">. </w:t>
      </w:r>
      <w:r>
        <w:t xml:space="preserve">Idaho Code 67-2402 provides for the internal structure for each department of the </w:t>
      </w:r>
      <w:r w:rsidR="00335836">
        <w:t>E</w:t>
      </w:r>
      <w:r>
        <w:t xml:space="preserve">xecutive branch of Idaho </w:t>
      </w:r>
      <w:r w:rsidR="00335836">
        <w:t>S</w:t>
      </w:r>
      <w:r>
        <w:t>tate government</w:t>
      </w:r>
      <w:r w:rsidR="00AD3039">
        <w:t xml:space="preserve">. </w:t>
      </w:r>
      <w:r>
        <w:t xml:space="preserve">For many of these departments, </w:t>
      </w:r>
      <w:r w:rsidR="00D2621A">
        <w:t>a</w:t>
      </w:r>
      <w:r>
        <w:t xml:space="preserve">ppropriation </w:t>
      </w:r>
      <w:r w:rsidR="00003477">
        <w:t xml:space="preserve"> aligns with</w:t>
      </w:r>
      <w:r>
        <w:t xml:space="preserve"> organizational structure</w:t>
      </w:r>
      <w:r w:rsidR="00C666AB">
        <w:t>. Additionally</w:t>
      </w:r>
      <w:r w:rsidR="00020479">
        <w:t>,</w:t>
      </w:r>
      <w:r w:rsidR="00C666AB">
        <w:t xml:space="preserve"> for </w:t>
      </w:r>
      <w:r>
        <w:t>these departments</w:t>
      </w:r>
      <w:r w:rsidR="00020479">
        <w:t>,</w:t>
      </w:r>
      <w:r w:rsidR="00C666AB">
        <w:t xml:space="preserve"> </w:t>
      </w:r>
      <w:r>
        <w:t xml:space="preserve">internal spending controls are placed at various levels of the organization, creating the necessity for this dimension from an appropriation standpoint as well as </w:t>
      </w:r>
      <w:r w:rsidR="008515ED">
        <w:t>an</w:t>
      </w:r>
      <w:r>
        <w:t xml:space="preserve"> internal budgeting and cost control perspective.</w:t>
      </w:r>
    </w:p>
    <w:p w14:paraId="7E92D153" w14:textId="77777777" w:rsidR="003D3733" w:rsidRPr="003D3733" w:rsidRDefault="003D3733" w:rsidP="00F23299">
      <w:pPr>
        <w:spacing w:after="120"/>
        <w:rPr>
          <w:u w:val="single"/>
        </w:rPr>
      </w:pPr>
      <w:r>
        <w:rPr>
          <w:u w:val="single"/>
        </w:rPr>
        <w:t xml:space="preserve">Dimension </w:t>
      </w:r>
      <w:r w:rsidRPr="00145CC7">
        <w:rPr>
          <w:u w:val="single"/>
        </w:rPr>
        <w:t>Format</w:t>
      </w:r>
    </w:p>
    <w:p w14:paraId="61756944" w14:textId="77777777" w:rsidR="003D3733" w:rsidRDefault="003D3733" w:rsidP="00F23299">
      <w:pPr>
        <w:spacing w:after="120"/>
      </w:pPr>
      <w:r>
        <w:t>Format Definitions</w:t>
      </w:r>
    </w:p>
    <w:p w14:paraId="70544951" w14:textId="77777777" w:rsidR="003D3733" w:rsidRDefault="003D3733" w:rsidP="00F23299">
      <w:pPr>
        <w:spacing w:after="120"/>
        <w:ind w:left="576" w:firstLine="576"/>
      </w:pPr>
      <w:r>
        <w:t>Keying Order</w:t>
      </w:r>
      <w:r>
        <w:tab/>
        <w:t xml:space="preserve">          Placed third in dimension order.</w:t>
      </w:r>
    </w:p>
    <w:p w14:paraId="6C8D8CAD" w14:textId="5B14248E" w:rsidR="003D3733" w:rsidRDefault="003D3733" w:rsidP="00F23299">
      <w:pPr>
        <w:spacing w:after="120"/>
        <w:ind w:left="3447" w:hanging="2295"/>
      </w:pPr>
      <w:r>
        <w:t xml:space="preserve">Summary Level 1  </w:t>
      </w:r>
      <w:r>
        <w:tab/>
      </w:r>
      <w:r w:rsidR="001C56D8" w:rsidRPr="001C56D8">
        <w:rPr>
          <w:b/>
        </w:rPr>
        <w:t>Entity</w:t>
      </w:r>
      <w:r w:rsidR="00AD3039">
        <w:t xml:space="preserve">. </w:t>
      </w:r>
      <w:r>
        <w:t>Required level.</w:t>
      </w:r>
      <w:r w:rsidR="00457FBC">
        <w:t xml:space="preserve"> Centrally-managed.</w:t>
      </w:r>
    </w:p>
    <w:p w14:paraId="08B51E84" w14:textId="1A3DBA83" w:rsidR="001C56D8" w:rsidRDefault="001C56D8" w:rsidP="001C56D8">
      <w:pPr>
        <w:spacing w:after="120"/>
        <w:ind w:left="3447" w:hanging="2295"/>
      </w:pPr>
      <w:r>
        <w:t xml:space="preserve">Summary Level 2  </w:t>
      </w:r>
      <w:r>
        <w:tab/>
      </w:r>
      <w:r w:rsidRPr="005E5490">
        <w:rPr>
          <w:b/>
        </w:rPr>
        <w:t>Division</w:t>
      </w:r>
      <w:r>
        <w:t>. Required level.</w:t>
      </w:r>
    </w:p>
    <w:p w14:paraId="0D5ACA8D" w14:textId="2ECB3EB8" w:rsidR="003D3733" w:rsidRDefault="003D3733" w:rsidP="00F23299">
      <w:pPr>
        <w:spacing w:after="120"/>
        <w:ind w:left="3447" w:hanging="2295"/>
      </w:pPr>
      <w:r>
        <w:t xml:space="preserve">Summary Level </w:t>
      </w:r>
      <w:r w:rsidR="001C56D8">
        <w:t>3</w:t>
      </w:r>
      <w:r>
        <w:tab/>
      </w:r>
      <w:r w:rsidRPr="005E5490">
        <w:rPr>
          <w:b/>
        </w:rPr>
        <w:t>Bureau</w:t>
      </w:r>
      <w:r w:rsidR="00AD3039">
        <w:t xml:space="preserve">. </w:t>
      </w:r>
      <w:r>
        <w:t>Required level</w:t>
      </w:r>
      <w:r w:rsidR="00AD3039">
        <w:t xml:space="preserve">. </w:t>
      </w:r>
      <w:r>
        <w:t>If the division does not have further subdivision, this will be a direct roll-up to Division from level below.</w:t>
      </w:r>
    </w:p>
    <w:p w14:paraId="6F1946E1" w14:textId="4631D83C" w:rsidR="003D3733" w:rsidRDefault="003D3733" w:rsidP="00F23299">
      <w:pPr>
        <w:spacing w:after="120"/>
        <w:ind w:left="3447" w:hanging="2295"/>
      </w:pPr>
      <w:r>
        <w:t xml:space="preserve">Summary Level </w:t>
      </w:r>
      <w:r w:rsidR="001C56D8">
        <w:t>4</w:t>
      </w:r>
      <w:r>
        <w:tab/>
      </w:r>
      <w:r w:rsidRPr="005E5490">
        <w:rPr>
          <w:b/>
        </w:rPr>
        <w:t>Section</w:t>
      </w:r>
      <w:r w:rsidR="00AD3039">
        <w:t xml:space="preserve">. </w:t>
      </w:r>
      <w:r>
        <w:t>Required level</w:t>
      </w:r>
      <w:r w:rsidR="00AD3039">
        <w:t xml:space="preserve">. </w:t>
      </w:r>
      <w:r>
        <w:t>If the bureau does not have further subdivision, this will be a direct roll-up to Bureau from the level below.</w:t>
      </w:r>
    </w:p>
    <w:p w14:paraId="37C126C4" w14:textId="014142E7" w:rsidR="003D3733" w:rsidRDefault="003D3733" w:rsidP="00F23299">
      <w:pPr>
        <w:spacing w:after="120"/>
        <w:ind w:left="3447" w:hanging="2295"/>
      </w:pPr>
      <w:r>
        <w:t xml:space="preserve">Summary Level </w:t>
      </w:r>
      <w:r w:rsidR="001C56D8">
        <w:t>5</w:t>
      </w:r>
      <w:r>
        <w:t>+</w:t>
      </w:r>
      <w:r>
        <w:tab/>
        <w:t>Further subdivision of sections</w:t>
      </w:r>
      <w:r w:rsidR="00AD3039">
        <w:t xml:space="preserve">. </w:t>
      </w:r>
      <w:r>
        <w:t>Optional, as required by agency structure.</w:t>
      </w:r>
    </w:p>
    <w:p w14:paraId="07F8FEF4" w14:textId="7F923F8F" w:rsidR="003D3733" w:rsidRDefault="003D3733" w:rsidP="00F23299">
      <w:pPr>
        <w:spacing w:after="120"/>
        <w:ind w:left="3447" w:hanging="2295"/>
      </w:pPr>
      <w:r>
        <w:t>Posting Level</w:t>
      </w:r>
      <w:r>
        <w:tab/>
      </w:r>
      <w:r w:rsidRPr="005E5490">
        <w:rPr>
          <w:b/>
        </w:rPr>
        <w:t>Cost Center</w:t>
      </w:r>
      <w:r w:rsidR="00AD3039">
        <w:t xml:space="preserve">. </w:t>
      </w:r>
      <w:r>
        <w:t>Required</w:t>
      </w:r>
      <w:r w:rsidR="00AD3039">
        <w:t xml:space="preserve">. </w:t>
      </w:r>
      <w:r>
        <w:t>Posting level cost centers may fall anywhere from level 4 or lower, based on number of intermediate levels required by agency hierarchical structure</w:t>
      </w:r>
      <w:r w:rsidR="00AD3039">
        <w:t xml:space="preserve">. </w:t>
      </w:r>
    </w:p>
    <w:p w14:paraId="289D45EA" w14:textId="3BCCC35B" w:rsidR="00003477" w:rsidRDefault="00003477" w:rsidP="00F23299">
      <w:pPr>
        <w:spacing w:after="120"/>
        <w:ind w:left="3447" w:hanging="2295"/>
      </w:pPr>
      <w:r>
        <w:tab/>
        <w:t xml:space="preserve">In order to accommodate the need for a default cost center for asset conversion, each agency will be set up with a cost center 99999.  This cost center sits outside the hierarchical structure described above and is a child of </w:t>
      </w:r>
      <w:r w:rsidR="002F2BCD">
        <w:t>the agency</w:t>
      </w:r>
      <w:r>
        <w:t>.</w:t>
      </w:r>
    </w:p>
    <w:p w14:paraId="765990A2" w14:textId="3FB047DF" w:rsidR="003D3733" w:rsidRDefault="003D3733" w:rsidP="00F23299">
      <w:pPr>
        <w:spacing w:after="120"/>
        <w:ind w:left="3447" w:hanging="2295"/>
      </w:pPr>
      <w:r>
        <w:t>Number of Levels</w:t>
      </w:r>
      <w:r>
        <w:tab/>
        <w:t xml:space="preserve">Minimum </w:t>
      </w:r>
      <w:r w:rsidR="006C30A2">
        <w:t>5</w:t>
      </w:r>
      <w:r>
        <w:t xml:space="preserve"> (</w:t>
      </w:r>
      <w:r w:rsidR="006C30A2">
        <w:t xml:space="preserve">Entity, </w:t>
      </w:r>
      <w:r>
        <w:t>Division, Bureau, Section, Cost Center); max unlimited</w:t>
      </w:r>
      <w:r w:rsidR="00AD3039">
        <w:t xml:space="preserve">. </w:t>
      </w:r>
      <w:r>
        <w:t>Dependent upon agency organizational structure.</w:t>
      </w:r>
    </w:p>
    <w:p w14:paraId="650E8751" w14:textId="77777777" w:rsidR="003D3733" w:rsidRDefault="003D3733" w:rsidP="00F23299">
      <w:pPr>
        <w:spacing w:after="120"/>
        <w:ind w:left="3447" w:hanging="2295"/>
      </w:pPr>
      <w:r>
        <w:t>Number of Children</w:t>
      </w:r>
      <w:r>
        <w:tab/>
        <w:t>Unlimited</w:t>
      </w:r>
      <w:r w:rsidR="00AD3039">
        <w:t xml:space="preserve">. </w:t>
      </w:r>
      <w:r>
        <w:t>Dependent upon agency organizational structure.</w:t>
      </w:r>
    </w:p>
    <w:p w14:paraId="796A20FD" w14:textId="02971CE8" w:rsidR="003D3733" w:rsidRDefault="003D3733" w:rsidP="00F23299">
      <w:pPr>
        <w:spacing w:after="120"/>
        <w:ind w:left="3447" w:hanging="2295"/>
      </w:pPr>
      <w:r>
        <w:t>Field Length Min</w:t>
      </w:r>
      <w:r>
        <w:tab/>
      </w:r>
      <w:r w:rsidR="009D2897">
        <w:t xml:space="preserve">Entity </w:t>
      </w:r>
      <w:r w:rsidR="00B749BE">
        <w:t>9</w:t>
      </w:r>
      <w:r w:rsidR="009D2897">
        <w:t xml:space="preserve"> characters (</w:t>
      </w:r>
      <w:r w:rsidR="00B749BE">
        <w:t>ALPHANUMERIC</w:t>
      </w:r>
      <w:r w:rsidR="009D2897">
        <w:t xml:space="preserve">, </w:t>
      </w:r>
      <w:r w:rsidR="00B749BE">
        <w:t>9</w:t>
      </w:r>
      <w:r w:rsidR="009D2897">
        <w:t xml:space="preserve">), </w:t>
      </w:r>
      <w:r>
        <w:t xml:space="preserve">Division minimum 1 character (INTEGER, 1), Bureau minimum 2 characters (INTEGER, 2), Section minimum 3 characters (INTEGER, 3), Cost Center minimum </w:t>
      </w:r>
      <w:r w:rsidR="00CF3708">
        <w:t xml:space="preserve">3 </w:t>
      </w:r>
      <w:r>
        <w:t xml:space="preserve">characters (INTEGER, </w:t>
      </w:r>
      <w:r w:rsidR="00CF3708">
        <w:t>3</w:t>
      </w:r>
      <w:r>
        <w:t>)</w:t>
      </w:r>
      <w:r w:rsidR="00692B29">
        <w:t>.</w:t>
      </w:r>
    </w:p>
    <w:p w14:paraId="77807FB2" w14:textId="77777777" w:rsidR="003D3733" w:rsidRDefault="003D3733" w:rsidP="00F23299">
      <w:pPr>
        <w:spacing w:after="120"/>
        <w:ind w:left="3447" w:hanging="2295"/>
      </w:pPr>
      <w:r>
        <w:t>Field Length Max</w:t>
      </w:r>
      <w:r>
        <w:tab/>
        <w:t>Maximum 15 characters</w:t>
      </w:r>
      <w:r w:rsidR="00B35853">
        <w:t xml:space="preserve"> </w:t>
      </w:r>
      <w:r>
        <w:t>(INTEGER, 15).</w:t>
      </w:r>
    </w:p>
    <w:p w14:paraId="17AFBE30" w14:textId="77777777" w:rsidR="003D3733" w:rsidRDefault="003D3733" w:rsidP="00F23299">
      <w:pPr>
        <w:spacing w:after="120"/>
      </w:pPr>
      <w:r>
        <w:t xml:space="preserve">Format Rationale </w:t>
      </w:r>
    </w:p>
    <w:p w14:paraId="4F366510" w14:textId="6494C9DC" w:rsidR="006D02D0" w:rsidRDefault="003D3733" w:rsidP="00F23299">
      <w:pPr>
        <w:spacing w:after="120"/>
        <w:ind w:left="3447" w:hanging="2295"/>
      </w:pPr>
      <w:r>
        <w:t>Keying Order</w:t>
      </w:r>
      <w:r>
        <w:tab/>
      </w:r>
      <w:r w:rsidR="006D02D0">
        <w:t>Luma</w:t>
      </w:r>
      <w:r w:rsidR="006D02D0" w:rsidRPr="008A0F97">
        <w:t xml:space="preserve"> allows for downstream pairing and defaulting when keying transactions</w:t>
      </w:r>
      <w:r w:rsidR="006D02D0">
        <w:t xml:space="preserve">. </w:t>
      </w:r>
      <w:r w:rsidR="006D02D0" w:rsidRPr="008A0F97">
        <w:t xml:space="preserve">By placing </w:t>
      </w:r>
      <w:r w:rsidR="006D02D0">
        <w:t xml:space="preserve">the </w:t>
      </w:r>
      <w:r w:rsidR="004E7372">
        <w:t>Organizational Unit</w:t>
      </w:r>
      <w:r w:rsidR="006D02D0">
        <w:t xml:space="preserve"> dimension</w:t>
      </w:r>
      <w:r w:rsidR="006D02D0" w:rsidRPr="008A0F97">
        <w:t xml:space="preserve"> </w:t>
      </w:r>
      <w:r w:rsidR="00502591">
        <w:t>third</w:t>
      </w:r>
      <w:r w:rsidR="006D02D0" w:rsidRPr="008A0F97">
        <w:t xml:space="preserve"> in the keying order, </w:t>
      </w:r>
      <w:r w:rsidR="006D02D0">
        <w:t xml:space="preserve">agencies will have the ability to pair or default downstream dimension values to their </w:t>
      </w:r>
      <w:r w:rsidR="004E7372">
        <w:t xml:space="preserve"> Organizational Unit</w:t>
      </w:r>
      <w:r w:rsidR="006D02D0">
        <w:t xml:space="preserve"> codes. </w:t>
      </w:r>
      <w:r w:rsidR="006D02D0" w:rsidRPr="008A0F97">
        <w:t xml:space="preserve">This </w:t>
      </w:r>
      <w:r w:rsidR="006D02D0">
        <w:t xml:space="preserve">will </w:t>
      </w:r>
      <w:r w:rsidR="006D02D0" w:rsidRPr="008A0F97">
        <w:t>reduce or eliminate unnecessary keying</w:t>
      </w:r>
      <w:r w:rsidR="006D02D0">
        <w:t xml:space="preserve">, </w:t>
      </w:r>
      <w:r w:rsidR="006D02D0" w:rsidRPr="008A0F97">
        <w:t>increase efficiency</w:t>
      </w:r>
      <w:r w:rsidR="006D02D0">
        <w:t>,</w:t>
      </w:r>
      <w:r w:rsidR="006D02D0" w:rsidRPr="008A0F97">
        <w:t xml:space="preserve"> </w:t>
      </w:r>
      <w:r w:rsidR="006D02D0">
        <w:t xml:space="preserve">and reduce data entry </w:t>
      </w:r>
      <w:r w:rsidR="006D02D0" w:rsidRPr="008A0F97">
        <w:t>errors</w:t>
      </w:r>
      <w:r w:rsidR="00502591">
        <w:t>.</w:t>
      </w:r>
    </w:p>
    <w:p w14:paraId="4C1FE7EA" w14:textId="4139531D" w:rsidR="003D3733" w:rsidRDefault="003D3733" w:rsidP="00D010BD">
      <w:pPr>
        <w:spacing w:after="120"/>
        <w:ind w:left="3447"/>
      </w:pPr>
      <w:r>
        <w:lastRenderedPageBreak/>
        <w:t>Placed thi</w:t>
      </w:r>
      <w:r w:rsidR="00957008">
        <w:t>rd</w:t>
      </w:r>
      <w:r>
        <w:t xml:space="preserve"> in keying order, right after the Project dimension, as the posting level cost center may be inferred by the project keyed</w:t>
      </w:r>
      <w:r w:rsidR="00AD3039">
        <w:t xml:space="preserve">. </w:t>
      </w:r>
      <w:r>
        <w:t>If not, then keying a cost center may determine another downstream field through pairing, such as appropriation</w:t>
      </w:r>
      <w:r w:rsidR="00AD3039">
        <w:t xml:space="preserve">. </w:t>
      </w:r>
    </w:p>
    <w:p w14:paraId="7F10E9D9" w14:textId="503EBCD1" w:rsidR="003D3733" w:rsidRDefault="003D3733" w:rsidP="00F23299">
      <w:pPr>
        <w:spacing w:after="120"/>
        <w:ind w:left="3447" w:hanging="2295"/>
      </w:pPr>
      <w:r>
        <w:t xml:space="preserve">Summary Level 1  </w:t>
      </w:r>
      <w:r>
        <w:tab/>
      </w:r>
      <w:r w:rsidR="00957008">
        <w:t>Entity</w:t>
      </w:r>
      <w:r>
        <w:t xml:space="preserve"> is the highest level of </w:t>
      </w:r>
      <w:r w:rsidR="00957008">
        <w:t>this dimension</w:t>
      </w:r>
      <w:r w:rsidR="00AD3039">
        <w:t xml:space="preserve">. </w:t>
      </w:r>
      <w:r w:rsidR="00957008">
        <w:t>This is needed for allocations to function properly in Luma</w:t>
      </w:r>
      <w:r w:rsidR="006A6BC0">
        <w:t xml:space="preserve"> and aids structure relation setup</w:t>
      </w:r>
      <w:r w:rsidR="00957008">
        <w:t>.</w:t>
      </w:r>
    </w:p>
    <w:p w14:paraId="3E5A98EC" w14:textId="11DE88B4" w:rsidR="00957008" w:rsidRDefault="00957008" w:rsidP="00957008">
      <w:pPr>
        <w:spacing w:after="120"/>
        <w:ind w:left="3447" w:hanging="2295"/>
      </w:pPr>
      <w:r>
        <w:t xml:space="preserve">Summary Level 2  </w:t>
      </w:r>
      <w:r>
        <w:tab/>
        <w:t xml:space="preserve">Per Idaho Code 67-2402, Division is the second highest level of </w:t>
      </w:r>
      <w:r w:rsidR="00EF61F1">
        <w:t>E</w:t>
      </w:r>
      <w:r>
        <w:t>xecutive branch agency internal structures. For many agencies, this ties directly to their annual state appropriation.</w:t>
      </w:r>
    </w:p>
    <w:p w14:paraId="46E834F9" w14:textId="2551C50E" w:rsidR="003D3733" w:rsidRDefault="003D3733" w:rsidP="00F23299">
      <w:pPr>
        <w:spacing w:after="120"/>
        <w:ind w:left="3447" w:hanging="2295"/>
      </w:pPr>
      <w:r>
        <w:t xml:space="preserve">Summary Level </w:t>
      </w:r>
      <w:r w:rsidR="00957008">
        <w:t>3</w:t>
      </w:r>
      <w:r>
        <w:tab/>
        <w:t xml:space="preserve">Per Idaho Code 67-2402, Bureau is the </w:t>
      </w:r>
      <w:r w:rsidR="00957008">
        <w:t>third</w:t>
      </w:r>
      <w:r>
        <w:t xml:space="preserve"> highest level of executive branch agency internal structures</w:t>
      </w:r>
      <w:r w:rsidR="00AD3039">
        <w:t xml:space="preserve">. </w:t>
      </w:r>
      <w:r>
        <w:t>Bureaus are a further subdivision of Divisions</w:t>
      </w:r>
      <w:r w:rsidR="00AD3039">
        <w:t xml:space="preserve">. </w:t>
      </w:r>
      <w:r>
        <w:t>For some agencies, this ties directly to their annual state appropriation.</w:t>
      </w:r>
    </w:p>
    <w:p w14:paraId="55451A22" w14:textId="7B4B247D" w:rsidR="003D3733" w:rsidRDefault="003D3733" w:rsidP="00F23299">
      <w:pPr>
        <w:spacing w:after="120"/>
        <w:ind w:left="3447" w:hanging="2295"/>
      </w:pPr>
      <w:r>
        <w:t xml:space="preserve">Summary Level </w:t>
      </w:r>
      <w:r w:rsidR="00957008">
        <w:t>4</w:t>
      </w:r>
      <w:r>
        <w:tab/>
        <w:t xml:space="preserve">Per Idaho Code 67-2402, Section is the </w:t>
      </w:r>
      <w:r w:rsidR="00957008">
        <w:t>fourth</w:t>
      </w:r>
      <w:r>
        <w:t xml:space="preserve"> highest level of </w:t>
      </w:r>
      <w:r w:rsidR="00EF61F1">
        <w:t>E</w:t>
      </w:r>
      <w:r>
        <w:t>xecutive branch agency internal structures</w:t>
      </w:r>
      <w:r w:rsidR="00AD3039">
        <w:t xml:space="preserve">. </w:t>
      </w:r>
      <w:r>
        <w:t>Sections are further subdivisions of Bureaus</w:t>
      </w:r>
      <w:r w:rsidR="00AD3039">
        <w:t xml:space="preserve">. </w:t>
      </w:r>
      <w:r>
        <w:t>For some agencies, this may tie directly to their annual state appropriation.</w:t>
      </w:r>
    </w:p>
    <w:p w14:paraId="570876D9" w14:textId="5DC3D650" w:rsidR="003D3733" w:rsidRDefault="003D3733" w:rsidP="00F23299">
      <w:pPr>
        <w:spacing w:after="120"/>
        <w:ind w:left="3447" w:hanging="2295"/>
      </w:pPr>
      <w:r>
        <w:t xml:space="preserve">Summary Level </w:t>
      </w:r>
      <w:r w:rsidR="00957008">
        <w:t>5</w:t>
      </w:r>
      <w:r>
        <w:t>+</w:t>
      </w:r>
      <w:r>
        <w:tab/>
        <w:t>Some agencies may require further subdivision in their organizational structure below Section due to the size and depth of their organization</w:t>
      </w:r>
      <w:r w:rsidR="00AD3039">
        <w:t xml:space="preserve">. </w:t>
      </w:r>
      <w:r>
        <w:t>Allowing for flexibility in Organizational Unit dimension hierarchies below the Section level gives agencies the ability to build out their structures in this dimension</w:t>
      </w:r>
      <w:r w:rsidR="00020479">
        <w:t>. This allows agencies</w:t>
      </w:r>
      <w:r>
        <w:t xml:space="preserve"> to meet their cost tracking and reporting needs, rather than forcing all agencies into a </w:t>
      </w:r>
      <w:r w:rsidR="008515ED">
        <w:t>“</w:t>
      </w:r>
      <w:r>
        <w:t>one-size fits all</w:t>
      </w:r>
      <w:r w:rsidR="008515ED">
        <w:t>”</w:t>
      </w:r>
      <w:r>
        <w:t xml:space="preserve"> structure.</w:t>
      </w:r>
    </w:p>
    <w:p w14:paraId="7AC43D44" w14:textId="77777777" w:rsidR="003D3733" w:rsidRDefault="003D3733" w:rsidP="00F23299">
      <w:pPr>
        <w:spacing w:after="120"/>
        <w:ind w:left="3447" w:hanging="2295"/>
      </w:pPr>
      <w:r>
        <w:t>Posting Level</w:t>
      </w:r>
      <w:r>
        <w:tab/>
        <w:t>Cost center is the lowest level in the Organizational Unit dimension for all agencies</w:t>
      </w:r>
      <w:r w:rsidR="00AD3039">
        <w:t xml:space="preserve">. </w:t>
      </w:r>
      <w:r>
        <w:t>This builds consistency across all agencies, creates a common vernacular, and encourages consistent reporting within the agency and across agencies.</w:t>
      </w:r>
    </w:p>
    <w:p w14:paraId="556F631F" w14:textId="2A0C994E" w:rsidR="00BD0D18" w:rsidRDefault="00BD0D18" w:rsidP="00BD0D18">
      <w:pPr>
        <w:spacing w:after="120"/>
        <w:ind w:left="3447" w:hanging="2295"/>
      </w:pPr>
      <w:r>
        <w:tab/>
      </w:r>
      <w:r w:rsidR="00CA7B0E">
        <w:t xml:space="preserve">Agencies may </w:t>
      </w:r>
      <w:r w:rsidR="00EF61F1">
        <w:t xml:space="preserve">apply </w:t>
      </w:r>
      <w:r>
        <w:t xml:space="preserve">roll-up logic </w:t>
      </w:r>
      <w:r w:rsidR="00CA7B0E">
        <w:t>to</w:t>
      </w:r>
      <w:r>
        <w:t xml:space="preserve"> Cost Center </w:t>
      </w:r>
      <w:r w:rsidR="00CA7B0E">
        <w:t>numbering</w:t>
      </w:r>
      <w:r w:rsidR="003E1768">
        <w:t xml:space="preserve"> (all codes in Division 1 start with 1, including the cost center numbers)</w:t>
      </w:r>
      <w:r w:rsidR="007A2B44">
        <w:t>. Omitting</w:t>
      </w:r>
      <w:r>
        <w:t xml:space="preserve"> </w:t>
      </w:r>
      <w:r w:rsidR="007A2B44">
        <w:t xml:space="preserve">roll-up logic </w:t>
      </w:r>
      <w:r w:rsidR="003E1768">
        <w:t xml:space="preserve">to cost center numbering </w:t>
      </w:r>
      <w:r>
        <w:t>enable</w:t>
      </w:r>
      <w:r w:rsidR="007A2B44">
        <w:t>s agency</w:t>
      </w:r>
      <w:r>
        <w:t xml:space="preserve"> reorgani</w:t>
      </w:r>
      <w:r w:rsidR="007A2B44">
        <w:t>zations</w:t>
      </w:r>
      <w:r>
        <w:t xml:space="preserve"> at the lowest level without having to renumber cost centers</w:t>
      </w:r>
      <w:r w:rsidR="00270134">
        <w:t xml:space="preserve"> </w:t>
      </w:r>
      <w:r w:rsidR="003E1768">
        <w:t>in order to maintain cost center numbering patterns.</w:t>
      </w:r>
    </w:p>
    <w:p w14:paraId="2D3A7B33" w14:textId="1B686CBB" w:rsidR="003D3733" w:rsidRDefault="003D3733" w:rsidP="00F23299">
      <w:pPr>
        <w:spacing w:after="120"/>
        <w:ind w:left="3447" w:hanging="2295"/>
      </w:pPr>
      <w:r>
        <w:t>Number of Levels</w:t>
      </w:r>
      <w:r>
        <w:tab/>
        <w:t>A minimum of f</w:t>
      </w:r>
      <w:r w:rsidR="00957008">
        <w:t>ive</w:t>
      </w:r>
      <w:r>
        <w:t xml:space="preserve"> levels (</w:t>
      </w:r>
      <w:r w:rsidR="00957008">
        <w:t xml:space="preserve">Entity, </w:t>
      </w:r>
      <w:r>
        <w:t>Division, Bureau, Section, Cost Center)</w:t>
      </w:r>
      <w:r w:rsidR="008B5E38">
        <w:t>,</w:t>
      </w:r>
      <w:r>
        <w:t xml:space="preserve"> </w:t>
      </w:r>
      <w:r w:rsidR="008515ED">
        <w:t xml:space="preserve">with an unlimited </w:t>
      </w:r>
      <w:r>
        <w:t>maximum, maintains compliance and observance of Idaho state statute while providing the flexibility to add additional levels as needed based on agency operational necessity.</w:t>
      </w:r>
    </w:p>
    <w:p w14:paraId="37950C53" w14:textId="77777777" w:rsidR="003D3733" w:rsidRDefault="003D3733" w:rsidP="00F23299">
      <w:pPr>
        <w:spacing w:after="120"/>
        <w:ind w:left="576" w:firstLine="576"/>
      </w:pPr>
      <w:r>
        <w:t>Number of Children          Unlimited</w:t>
      </w:r>
      <w:r w:rsidR="00AD3039">
        <w:t xml:space="preserve">. </w:t>
      </w:r>
      <w:r>
        <w:t>Based on agency organizational structure.</w:t>
      </w:r>
    </w:p>
    <w:p w14:paraId="544927E5" w14:textId="00D8030C" w:rsidR="003D3733" w:rsidRDefault="003D3733" w:rsidP="00F94083">
      <w:pPr>
        <w:spacing w:after="120"/>
        <w:ind w:left="3447" w:hanging="2295"/>
      </w:pPr>
      <w:r>
        <w:t>Field Length Min</w:t>
      </w:r>
      <w:r>
        <w:tab/>
        <w:t xml:space="preserve">Minimum </w:t>
      </w:r>
      <w:r w:rsidR="00957008">
        <w:t>9</w:t>
      </w:r>
      <w:r>
        <w:t xml:space="preserve"> (</w:t>
      </w:r>
      <w:r w:rsidR="00957008">
        <w:t>ALPHANUMERIC</w:t>
      </w:r>
      <w:r>
        <w:t xml:space="preserve">, </w:t>
      </w:r>
      <w:r w:rsidR="00957008">
        <w:t>9</w:t>
      </w:r>
      <w:r>
        <w:t xml:space="preserve">) at </w:t>
      </w:r>
      <w:r w:rsidR="00957008">
        <w:t>Entity</w:t>
      </w:r>
      <w:r>
        <w:t xml:space="preserve"> level</w:t>
      </w:r>
      <w:r w:rsidR="007341E6">
        <w:t>. Minimum 1 (NUMERIC, 1)</w:t>
      </w:r>
      <w:r>
        <w:t xml:space="preserve"> with each level </w:t>
      </w:r>
      <w:r w:rsidR="007341E6">
        <w:t xml:space="preserve">typically </w:t>
      </w:r>
      <w:r>
        <w:t>adding a place to facilitate roll-up logic in numbering</w:t>
      </w:r>
      <w:r w:rsidR="00AD3039">
        <w:t xml:space="preserve">. </w:t>
      </w:r>
      <w:r>
        <w:t xml:space="preserve">Cost Center </w:t>
      </w:r>
      <w:r w:rsidR="003E1768">
        <w:t xml:space="preserve">has </w:t>
      </w:r>
      <w:r w:rsidR="00CF3708">
        <w:t>a minimum of</w:t>
      </w:r>
      <w:r>
        <w:t xml:space="preserve"> </w:t>
      </w:r>
      <w:r w:rsidR="00CF3708">
        <w:t>three</w:t>
      </w:r>
      <w:r>
        <w:t xml:space="preserve"> places (INTEGER,</w:t>
      </w:r>
      <w:r w:rsidR="00933913">
        <w:t xml:space="preserve"> </w:t>
      </w:r>
      <w:r w:rsidR="00CF3708">
        <w:t>3</w:t>
      </w:r>
      <w:r>
        <w:t>)</w:t>
      </w:r>
      <w:r w:rsidR="00AD3039">
        <w:t xml:space="preserve">. </w:t>
      </w:r>
    </w:p>
    <w:p w14:paraId="139C45E0" w14:textId="51AB207B" w:rsidR="00F24BA7" w:rsidRDefault="003D3733" w:rsidP="00F24BA7">
      <w:pPr>
        <w:spacing w:after="120"/>
        <w:ind w:left="576" w:firstLine="576"/>
      </w:pPr>
      <w:r>
        <w:t xml:space="preserve">Field Length Max </w:t>
      </w:r>
      <w:r>
        <w:tab/>
        <w:t xml:space="preserve">          </w:t>
      </w:r>
      <w:r w:rsidR="00F06BF0">
        <w:t>Luma</w:t>
      </w:r>
      <w:r>
        <w:t xml:space="preserve"> limits field length to 15 (INTEGER, 15).</w:t>
      </w:r>
    </w:p>
    <w:p w14:paraId="34D2B27D" w14:textId="77777777" w:rsidR="00F24BA7" w:rsidRDefault="00F24BA7" w:rsidP="00270473">
      <w:pPr>
        <w:pStyle w:val="Heading2"/>
      </w:pPr>
      <w:bookmarkStart w:id="63" w:name="_Toc68532157"/>
      <w:r>
        <w:lastRenderedPageBreak/>
        <w:t>Program</w:t>
      </w:r>
      <w:bookmarkEnd w:id="63"/>
    </w:p>
    <w:p w14:paraId="12162E52" w14:textId="77777777" w:rsidR="00F24BA7" w:rsidRPr="00586577" w:rsidRDefault="00F24BA7" w:rsidP="00F24BA7">
      <w:pPr>
        <w:spacing w:after="120"/>
        <w:rPr>
          <w:u w:val="single"/>
        </w:rPr>
      </w:pPr>
      <w:r>
        <w:rPr>
          <w:u w:val="single"/>
        </w:rPr>
        <w:t>Dimension Purpose and Usage</w:t>
      </w:r>
    </w:p>
    <w:p w14:paraId="77FBA925" w14:textId="77777777" w:rsidR="00F24BA7" w:rsidRPr="004B599B" w:rsidRDefault="00F24BA7" w:rsidP="00F24BA7">
      <w:pPr>
        <w:spacing w:after="120"/>
        <w:ind w:left="3456" w:hanging="3456"/>
        <w:rPr>
          <w:i/>
        </w:rPr>
      </w:pPr>
      <w:r>
        <w:t>Purpose Definition</w:t>
      </w:r>
      <w:r>
        <w:tab/>
      </w:r>
      <w:r w:rsidRPr="00145CC7">
        <w:rPr>
          <w:i/>
        </w:rPr>
        <w:t xml:space="preserve">Used to </w:t>
      </w:r>
      <w:r>
        <w:rPr>
          <w:i/>
        </w:rPr>
        <w:t>identify ongoing agency activities or functions that occur across the organizational structure.</w:t>
      </w:r>
    </w:p>
    <w:p w14:paraId="0C94FAD6" w14:textId="74D1FBCB" w:rsidR="00F24BA7" w:rsidRPr="004B599B" w:rsidRDefault="00F24BA7" w:rsidP="00F24BA7">
      <w:pPr>
        <w:spacing w:after="120"/>
        <w:ind w:left="3456" w:hanging="3456"/>
        <w:rPr>
          <w:color w:val="FF0000"/>
        </w:rPr>
      </w:pPr>
      <w:r w:rsidRPr="00A532A3">
        <w:t>Purpose Rationale</w:t>
      </w:r>
      <w:r>
        <w:tab/>
      </w:r>
      <w:proofErr w:type="gramStart"/>
      <w:r>
        <w:t>The</w:t>
      </w:r>
      <w:proofErr w:type="gramEnd"/>
      <w:r>
        <w:t xml:space="preserve"> Program dimension provides agencies with the ability to define each of their major programs or functions and track financial activity accordingly. For agencies </w:t>
      </w:r>
      <w:r w:rsidR="00136CFE">
        <w:t>where their</w:t>
      </w:r>
      <w:r>
        <w:t xml:space="preserve"> appropriated program</w:t>
      </w:r>
      <w:r w:rsidR="00136CFE">
        <w:t>s</w:t>
      </w:r>
      <w:r>
        <w:t xml:space="preserve"> </w:t>
      </w:r>
      <w:r w:rsidR="00136CFE">
        <w:t>do not align with their</w:t>
      </w:r>
      <w:r>
        <w:t xml:space="preserve"> organizational structure, this dimension </w:t>
      </w:r>
      <w:r w:rsidR="00136CFE">
        <w:t>may</w:t>
      </w:r>
      <w:r>
        <w:t xml:space="preserve"> be used to pair with the Appropriation dimension to put </w:t>
      </w:r>
      <w:r w:rsidR="00136CFE">
        <w:t xml:space="preserve">coding in place to provide </w:t>
      </w:r>
      <w:r>
        <w:t>proper spending controls</w:t>
      </w:r>
      <w:r w:rsidR="00136CFE">
        <w:t xml:space="preserve">, especially if an agency desires the ability to track </w:t>
      </w:r>
      <w:r w:rsidR="003E1768">
        <w:t xml:space="preserve">or control </w:t>
      </w:r>
      <w:r w:rsidR="00136CFE">
        <w:t>program costs at a more granular level than just Appropriation</w:t>
      </w:r>
      <w:r>
        <w:t>.</w:t>
      </w:r>
    </w:p>
    <w:p w14:paraId="4A67AA19" w14:textId="77777777" w:rsidR="00F24BA7" w:rsidRPr="00145CC7" w:rsidRDefault="00F24BA7" w:rsidP="00F24BA7">
      <w:pPr>
        <w:spacing w:after="120"/>
        <w:rPr>
          <w:u w:val="single"/>
        </w:rPr>
      </w:pPr>
      <w:r>
        <w:rPr>
          <w:u w:val="single"/>
        </w:rPr>
        <w:t xml:space="preserve">Dimension </w:t>
      </w:r>
      <w:r w:rsidRPr="00145CC7">
        <w:rPr>
          <w:u w:val="single"/>
        </w:rPr>
        <w:t>Format</w:t>
      </w:r>
    </w:p>
    <w:p w14:paraId="05F5706E" w14:textId="77777777" w:rsidR="00F24BA7" w:rsidRDefault="00F24BA7" w:rsidP="00F24BA7">
      <w:pPr>
        <w:spacing w:after="120"/>
      </w:pPr>
      <w:r>
        <w:t>Format Definitions</w:t>
      </w:r>
    </w:p>
    <w:p w14:paraId="33E6DC4A" w14:textId="70180D97" w:rsidR="00F24BA7" w:rsidRDefault="00F24BA7" w:rsidP="00F24BA7">
      <w:pPr>
        <w:spacing w:after="120"/>
        <w:ind w:left="576" w:firstLine="576"/>
      </w:pPr>
      <w:r w:rsidRPr="00160F00">
        <w:t>Keying Order</w:t>
      </w:r>
      <w:r w:rsidRPr="00160F00">
        <w:tab/>
      </w:r>
      <w:r>
        <w:t xml:space="preserve">          </w:t>
      </w:r>
      <w:r w:rsidRPr="00160F00">
        <w:t>Placed f</w:t>
      </w:r>
      <w:r w:rsidR="001F1DBF">
        <w:t>ourth</w:t>
      </w:r>
      <w:r w:rsidRPr="00160F00">
        <w:t xml:space="preserve"> in </w:t>
      </w:r>
      <w:r>
        <w:t>d</w:t>
      </w:r>
      <w:r w:rsidRPr="00160F00">
        <w:t>imension order.</w:t>
      </w:r>
    </w:p>
    <w:p w14:paraId="06DEF673" w14:textId="0EC2BBE5" w:rsidR="00841711" w:rsidRPr="004B599B" w:rsidRDefault="00841711" w:rsidP="00EF71E3">
      <w:pPr>
        <w:spacing w:after="120"/>
        <w:ind w:left="3447" w:hanging="2295"/>
      </w:pPr>
      <w:r w:rsidRPr="00CC1ED1">
        <w:t xml:space="preserve">Summary Level 1  </w:t>
      </w:r>
      <w:r w:rsidRPr="00CC1ED1">
        <w:tab/>
      </w:r>
      <w:r w:rsidRPr="00AE0D29">
        <w:rPr>
          <w:b/>
        </w:rPr>
        <w:t>Program Level 1</w:t>
      </w:r>
      <w:r>
        <w:t xml:space="preserve">. Required. </w:t>
      </w:r>
      <w:r w:rsidRPr="00CC1ED1">
        <w:t xml:space="preserve">The highest summary level within the </w:t>
      </w:r>
      <w:r>
        <w:t>P</w:t>
      </w:r>
      <w:r w:rsidRPr="00CC1ED1">
        <w:t>rogram dimension</w:t>
      </w:r>
      <w:r>
        <w:t>. Agency level.</w:t>
      </w:r>
      <w:r w:rsidR="00CD78BC">
        <w:t xml:space="preserve"> Centrally-managed.</w:t>
      </w:r>
    </w:p>
    <w:p w14:paraId="3A9DE2CB" w14:textId="6E3D3ED5" w:rsidR="00F24BA7" w:rsidRPr="00CC1ED1" w:rsidRDefault="00F24BA7" w:rsidP="00F24BA7">
      <w:pPr>
        <w:spacing w:after="120"/>
        <w:ind w:left="3447" w:hanging="2295"/>
      </w:pPr>
      <w:r w:rsidRPr="00CC1ED1">
        <w:t xml:space="preserve">Summary Level </w:t>
      </w:r>
      <w:r w:rsidR="00841711">
        <w:t>2</w:t>
      </w:r>
      <w:r>
        <w:t>+</w:t>
      </w:r>
      <w:r w:rsidRPr="00CC1ED1">
        <w:t xml:space="preserve">  </w:t>
      </w:r>
      <w:r w:rsidRPr="00CC1ED1">
        <w:tab/>
      </w:r>
      <w:r w:rsidRPr="00AE0D29">
        <w:rPr>
          <w:b/>
        </w:rPr>
        <w:t xml:space="preserve">Program Level </w:t>
      </w:r>
      <w:r w:rsidR="00841711">
        <w:rPr>
          <w:b/>
        </w:rPr>
        <w:t>2+</w:t>
      </w:r>
      <w:r>
        <w:t xml:space="preserve">. Optional. </w:t>
      </w:r>
      <w:r w:rsidRPr="00CC1ED1">
        <w:t xml:space="preserve">The </w:t>
      </w:r>
      <w:r w:rsidR="00841711">
        <w:t>second highest</w:t>
      </w:r>
      <w:r w:rsidRPr="00CC1ED1">
        <w:t xml:space="preserve"> summary level within the </w:t>
      </w:r>
      <w:r>
        <w:t>P</w:t>
      </w:r>
      <w:r w:rsidRPr="00CC1ED1">
        <w:t>rogram dimension</w:t>
      </w:r>
      <w:r>
        <w:t>.</w:t>
      </w:r>
      <w:r w:rsidR="00841711">
        <w:t xml:space="preserve"> Agencies may create summary levels to facilitate operational and reporting needs. </w:t>
      </w:r>
    </w:p>
    <w:p w14:paraId="56124C67" w14:textId="4E92ED41" w:rsidR="00F24BA7" w:rsidRPr="004B599B" w:rsidRDefault="00F24BA7" w:rsidP="00F24BA7">
      <w:pPr>
        <w:spacing w:after="120"/>
        <w:ind w:left="3447" w:hanging="2295"/>
      </w:pPr>
      <w:r w:rsidRPr="00722F31">
        <w:t>Posting Level</w:t>
      </w:r>
      <w:r w:rsidRPr="00722F31">
        <w:tab/>
        <w:t>Lowest level of hierarchy</w:t>
      </w:r>
      <w:r>
        <w:t xml:space="preserve">. </w:t>
      </w:r>
      <w:r w:rsidRPr="00722F31">
        <w:t>Determined by agency based on setup needs.</w:t>
      </w:r>
    </w:p>
    <w:p w14:paraId="1709F046" w14:textId="77777777" w:rsidR="00F24BA7" w:rsidRPr="00160F00" w:rsidRDefault="00F24BA7" w:rsidP="00F24BA7">
      <w:pPr>
        <w:spacing w:after="120"/>
        <w:ind w:left="576" w:firstLine="576"/>
      </w:pPr>
      <w:r w:rsidRPr="00160F00">
        <w:t>Number of Levels</w:t>
      </w:r>
      <w:r w:rsidRPr="00160F00">
        <w:tab/>
      </w:r>
      <w:r>
        <w:t xml:space="preserve">          Unlimited. </w:t>
      </w:r>
      <w:r w:rsidRPr="00160F00">
        <w:t>Determined by agency based on set-up needs.</w:t>
      </w:r>
    </w:p>
    <w:p w14:paraId="735373A2" w14:textId="77777777" w:rsidR="00F24BA7" w:rsidRPr="004B599B" w:rsidRDefault="00F24BA7" w:rsidP="00F24BA7">
      <w:pPr>
        <w:spacing w:after="120"/>
        <w:ind w:left="576" w:firstLine="576"/>
      </w:pPr>
      <w:r w:rsidRPr="00160F00">
        <w:t>Number of Children</w:t>
      </w:r>
      <w:r>
        <w:t xml:space="preserve">          </w:t>
      </w:r>
      <w:r w:rsidRPr="00160F00">
        <w:t>Unlimited</w:t>
      </w:r>
      <w:r>
        <w:t xml:space="preserve">. </w:t>
      </w:r>
      <w:r w:rsidRPr="00160F00">
        <w:t>Determined by agency based on set-up needs.</w:t>
      </w:r>
    </w:p>
    <w:p w14:paraId="6388159F" w14:textId="3A173328" w:rsidR="00F24BA7" w:rsidRPr="00A91149" w:rsidRDefault="00F24BA7" w:rsidP="00F24BA7">
      <w:pPr>
        <w:spacing w:after="120"/>
        <w:ind w:left="3447" w:hanging="2295"/>
      </w:pPr>
      <w:r w:rsidRPr="00A91149">
        <w:t>Field Length Min</w:t>
      </w:r>
      <w:r w:rsidRPr="00A91149">
        <w:tab/>
      </w:r>
      <w:r w:rsidR="000C1E73">
        <w:t>Minimum 3 characters: Summary level 1 - Agency code (INTEGER, 3).</w:t>
      </w:r>
    </w:p>
    <w:p w14:paraId="76B253B1" w14:textId="77777777" w:rsidR="00F24BA7" w:rsidRPr="004B599B" w:rsidRDefault="00F24BA7" w:rsidP="00F24BA7">
      <w:pPr>
        <w:spacing w:after="120"/>
        <w:ind w:left="3447" w:hanging="2295"/>
      </w:pPr>
      <w:r w:rsidRPr="00A91149">
        <w:t>Field Length Max</w:t>
      </w:r>
      <w:r w:rsidRPr="00A91149">
        <w:tab/>
        <w:t xml:space="preserve">Maximum </w:t>
      </w:r>
      <w:r>
        <w:t>15</w:t>
      </w:r>
      <w:r w:rsidRPr="00A91149">
        <w:t xml:space="preserve"> characters</w:t>
      </w:r>
      <w:r>
        <w:t xml:space="preserve">: </w:t>
      </w:r>
      <w:r w:rsidRPr="00A91149">
        <w:t>Agency code (</w:t>
      </w:r>
      <w:r>
        <w:t>INTEGER</w:t>
      </w:r>
      <w:r w:rsidRPr="00A91149">
        <w:t>, 3) plus (</w:t>
      </w:r>
      <w:r>
        <w:t>ALPHANUMERIC</w:t>
      </w:r>
      <w:r w:rsidRPr="00A91149">
        <w:t>,</w:t>
      </w:r>
      <w:r>
        <w:t>12</w:t>
      </w:r>
      <w:r w:rsidRPr="00A91149">
        <w:t>)</w:t>
      </w:r>
      <w:r>
        <w:t xml:space="preserve">. </w:t>
      </w:r>
      <w:r w:rsidRPr="00A91149">
        <w:t>Determined by agency based on set-up needs.</w:t>
      </w:r>
    </w:p>
    <w:p w14:paraId="3241B2D3" w14:textId="77777777" w:rsidR="00F24BA7" w:rsidRPr="009B746F" w:rsidRDefault="00F24BA7" w:rsidP="00F24BA7">
      <w:pPr>
        <w:spacing w:after="120"/>
      </w:pPr>
      <w:r w:rsidRPr="009B746F">
        <w:t xml:space="preserve">Format Rationale  </w:t>
      </w:r>
    </w:p>
    <w:p w14:paraId="1D761681" w14:textId="085C228A" w:rsidR="00F24BA7" w:rsidRDefault="00F24BA7" w:rsidP="00F24BA7">
      <w:pPr>
        <w:spacing w:after="120"/>
        <w:ind w:left="3447" w:hanging="2295"/>
      </w:pPr>
      <w:r w:rsidRPr="008A0F97">
        <w:t>Keying Order</w:t>
      </w:r>
      <w:r w:rsidRPr="008A0F97">
        <w:tab/>
      </w:r>
      <w:r>
        <w:t>Luma</w:t>
      </w:r>
      <w:r w:rsidRPr="008A0F97">
        <w:t xml:space="preserve"> allows for downstream pairing and defaulting when keying transactions</w:t>
      </w:r>
      <w:r>
        <w:t xml:space="preserve">. </w:t>
      </w:r>
      <w:r w:rsidRPr="008A0F97">
        <w:t xml:space="preserve">By placing </w:t>
      </w:r>
      <w:r>
        <w:t xml:space="preserve">the </w:t>
      </w:r>
      <w:r w:rsidRPr="008A0F97">
        <w:t>Program</w:t>
      </w:r>
      <w:r>
        <w:t xml:space="preserve"> dimension</w:t>
      </w:r>
      <w:r w:rsidRPr="008A0F97">
        <w:t xml:space="preserve"> f</w:t>
      </w:r>
      <w:r w:rsidR="001F1DBF">
        <w:t>ourth</w:t>
      </w:r>
      <w:r w:rsidRPr="008A0F97">
        <w:t xml:space="preserve"> in the keying order, </w:t>
      </w:r>
      <w:r>
        <w:t>agencies will have the ability to pair</w:t>
      </w:r>
      <w:r w:rsidR="00233775">
        <w:t xml:space="preserve"> or default</w:t>
      </w:r>
      <w:r>
        <w:t xml:space="preserve"> downstream dimension </w:t>
      </w:r>
      <w:r w:rsidR="00233775">
        <w:t>value</w:t>
      </w:r>
      <w:r w:rsidR="000C1E73">
        <w:t>s to their Program codes</w:t>
      </w:r>
      <w:r>
        <w:t xml:space="preserve">. </w:t>
      </w:r>
      <w:r w:rsidRPr="008A0F97">
        <w:t xml:space="preserve">This </w:t>
      </w:r>
      <w:r>
        <w:t xml:space="preserve">will </w:t>
      </w:r>
      <w:r w:rsidRPr="008A0F97">
        <w:t>reduce or eliminate unnecessary keying</w:t>
      </w:r>
      <w:r>
        <w:t xml:space="preserve">, </w:t>
      </w:r>
      <w:r w:rsidRPr="008A0F97">
        <w:t>increase efficiency</w:t>
      </w:r>
      <w:r>
        <w:t>,</w:t>
      </w:r>
      <w:r w:rsidRPr="008A0F97">
        <w:t xml:space="preserve"> </w:t>
      </w:r>
      <w:r>
        <w:t xml:space="preserve">and reduce data entry </w:t>
      </w:r>
      <w:r w:rsidRPr="008A0F97">
        <w:t>errors</w:t>
      </w:r>
      <w:r>
        <w:t>.</w:t>
      </w:r>
    </w:p>
    <w:p w14:paraId="086C42CD" w14:textId="319D9504" w:rsidR="00917A0B" w:rsidRDefault="00917A0B" w:rsidP="00917A0B">
      <w:pPr>
        <w:spacing w:after="120"/>
        <w:ind w:left="3447" w:hanging="2295"/>
      </w:pPr>
      <w:r>
        <w:t xml:space="preserve">Summary Level 1  </w:t>
      </w:r>
      <w:r>
        <w:tab/>
      </w:r>
      <w:r w:rsidR="00FC7684">
        <w:t xml:space="preserve">Agency level. </w:t>
      </w:r>
      <w:r>
        <w:t>Centrally-managed summary level but agencies control the description.</w:t>
      </w:r>
    </w:p>
    <w:p w14:paraId="25035CD5" w14:textId="5ADE6353" w:rsidR="00536C67" w:rsidRPr="004B599B" w:rsidRDefault="00917A0B">
      <w:pPr>
        <w:spacing w:after="120"/>
        <w:ind w:left="3447" w:hanging="2295"/>
      </w:pPr>
      <w:r>
        <w:t>Summary Level 2</w:t>
      </w:r>
      <w:r w:rsidR="00EF5868">
        <w:t>+</w:t>
      </w:r>
      <w:r>
        <w:t xml:space="preserve">  </w:t>
      </w:r>
      <w:r>
        <w:tab/>
        <w:t xml:space="preserve">Agencies manage </w:t>
      </w:r>
      <w:r w:rsidR="00EF5868">
        <w:t xml:space="preserve">additional levels </w:t>
      </w:r>
      <w:r>
        <w:t>to build out the Pro</w:t>
      </w:r>
      <w:r w:rsidR="00BB3D51">
        <w:t>gram</w:t>
      </w:r>
      <w:r>
        <w:t xml:space="preserve"> dimension to</w:t>
      </w:r>
      <w:r w:rsidR="00233775">
        <w:t xml:space="preserve"> fit</w:t>
      </w:r>
      <w:r>
        <w:t xml:space="preserve"> their </w:t>
      </w:r>
      <w:r w:rsidR="00ED607B">
        <w:t>mission</w:t>
      </w:r>
      <w:r>
        <w:t>. Agencies may find it useful to group pro</w:t>
      </w:r>
      <w:r w:rsidR="00BB3D51">
        <w:t>grams</w:t>
      </w:r>
      <w:r>
        <w:t xml:space="preserve"> by type or category in order to maintain a system of organization.</w:t>
      </w:r>
    </w:p>
    <w:p w14:paraId="564A2223" w14:textId="6FDF7570" w:rsidR="00F24BA7" w:rsidRPr="004B599B" w:rsidRDefault="00F24BA7" w:rsidP="00FF432C">
      <w:pPr>
        <w:spacing w:after="120"/>
      </w:pPr>
    </w:p>
    <w:p w14:paraId="750C794B" w14:textId="77777777" w:rsidR="00F24BA7" w:rsidRPr="004B599B" w:rsidRDefault="00F24BA7" w:rsidP="00F24BA7">
      <w:pPr>
        <w:spacing w:after="120"/>
        <w:ind w:left="3447" w:hanging="2295"/>
      </w:pPr>
      <w:r w:rsidRPr="009E55A3">
        <w:lastRenderedPageBreak/>
        <w:t>Posting Level</w:t>
      </w:r>
      <w:r w:rsidRPr="009E55A3">
        <w:tab/>
        <w:t xml:space="preserve">Reporting may be done at any level within a hierarchy but posting </w:t>
      </w:r>
      <w:r>
        <w:t>occur</w:t>
      </w:r>
      <w:r w:rsidRPr="009E55A3">
        <w:t xml:space="preserve">s only at the lowest level of any hierarchy within the </w:t>
      </w:r>
      <w:r>
        <w:t>Luma</w:t>
      </w:r>
      <w:r w:rsidRPr="009E55A3">
        <w:t xml:space="preserve"> application</w:t>
      </w:r>
      <w:r>
        <w:t>. Posting level will depend on program structure and reporting needs of the agency.</w:t>
      </w:r>
    </w:p>
    <w:p w14:paraId="7A96379D" w14:textId="77777777" w:rsidR="00F24BA7" w:rsidRDefault="00F24BA7" w:rsidP="00F24BA7">
      <w:pPr>
        <w:ind w:left="1170"/>
      </w:pPr>
      <w:r w:rsidRPr="001B1439">
        <w:t>Number of Levels/</w:t>
      </w:r>
    </w:p>
    <w:p w14:paraId="6FE08E86" w14:textId="09E3CD48" w:rsidR="00F24BA7" w:rsidRPr="004B599B" w:rsidRDefault="00F24BA7" w:rsidP="00F24BA7">
      <w:pPr>
        <w:spacing w:after="120"/>
        <w:ind w:left="3510" w:hanging="2340"/>
      </w:pPr>
      <w:r w:rsidRPr="001B1439">
        <w:t>Number of Children</w:t>
      </w:r>
      <w:r>
        <w:tab/>
        <w:t>An u</w:t>
      </w:r>
      <w:r w:rsidRPr="001B1439">
        <w:t xml:space="preserve">nlimited number of “children” can be created from one “parent” within any level of a </w:t>
      </w:r>
      <w:r>
        <w:t>program</w:t>
      </w:r>
      <w:r w:rsidRPr="001B1439">
        <w:t xml:space="preserve"> hierarchy</w:t>
      </w:r>
      <w:r>
        <w:t xml:space="preserve">. </w:t>
      </w:r>
      <w:r w:rsidR="009A6A72">
        <w:t xml:space="preserve">The </w:t>
      </w:r>
      <w:r w:rsidRPr="001B1439">
        <w:t xml:space="preserve">ability to add unlimited levels within a hierarchy and to create an unlimited number of children from a parent provides </w:t>
      </w:r>
      <w:r w:rsidR="009A6A72">
        <w:t xml:space="preserve">users with </w:t>
      </w:r>
      <w:r w:rsidRPr="001B1439">
        <w:t>maximum flexibility to structure Program</w:t>
      </w:r>
      <w:r>
        <w:t xml:space="preserve"> dimension</w:t>
      </w:r>
      <w:r w:rsidRPr="001B1439">
        <w:t xml:space="preserve"> </w:t>
      </w:r>
      <w:r>
        <w:t xml:space="preserve">hierarchies </w:t>
      </w:r>
      <w:r w:rsidRPr="001B1439">
        <w:t>as deep and as broad as needed to achieve operational</w:t>
      </w:r>
      <w:r>
        <w:t xml:space="preserve"> and</w:t>
      </w:r>
      <w:r w:rsidRPr="001B1439">
        <w:t xml:space="preserve"> reporting needs.</w:t>
      </w:r>
    </w:p>
    <w:p w14:paraId="14C89AB3" w14:textId="77777777" w:rsidR="00F24BA7" w:rsidRDefault="00F24BA7" w:rsidP="00F24BA7">
      <w:pPr>
        <w:spacing w:after="120"/>
        <w:ind w:left="3456" w:hanging="2301"/>
      </w:pPr>
      <w:r w:rsidRPr="006E61D6">
        <w:t>Field Length Min/Max</w:t>
      </w:r>
      <w:r w:rsidRPr="006E61D6">
        <w:tab/>
        <w:t xml:space="preserve">In order to give agencies maximum flexibility in their numbering conventions for </w:t>
      </w:r>
      <w:r>
        <w:t>their programs,</w:t>
      </w:r>
      <w:r w:rsidRPr="006E61D6">
        <w:t xml:space="preserve"> while </w:t>
      </w:r>
      <w:r>
        <w:t>also avoiding</w:t>
      </w:r>
      <w:r w:rsidRPr="006E61D6">
        <w:t xml:space="preserve"> the risk of using a program code already in use by another agency</w:t>
      </w:r>
      <w:r>
        <w:t xml:space="preserve">, </w:t>
      </w:r>
      <w:r w:rsidRPr="006E61D6">
        <w:t xml:space="preserve">all codes at all levels in the </w:t>
      </w:r>
      <w:r>
        <w:t>P</w:t>
      </w:r>
      <w:r w:rsidRPr="006E61D6">
        <w:t xml:space="preserve">rogram dimension will start with the 3-digit </w:t>
      </w:r>
      <w:r>
        <w:t>a</w:t>
      </w:r>
      <w:r w:rsidRPr="006E61D6">
        <w:t>gency code</w:t>
      </w:r>
      <w:r>
        <w:t xml:space="preserve">. </w:t>
      </w:r>
    </w:p>
    <w:p w14:paraId="6EE38DC8" w14:textId="1A818A6D" w:rsidR="00F24BA7" w:rsidRPr="004B599B" w:rsidRDefault="00F24BA7" w:rsidP="00F24BA7">
      <w:pPr>
        <w:spacing w:after="120"/>
        <w:ind w:left="3456"/>
      </w:pPr>
      <w:r>
        <w:t>I</w:t>
      </w:r>
      <w:r w:rsidRPr="006E61D6">
        <w:t xml:space="preserve">n </w:t>
      </w:r>
      <w:r>
        <w:t xml:space="preserve">the legacy </w:t>
      </w:r>
      <w:r w:rsidRPr="006E61D6">
        <w:t>STARS</w:t>
      </w:r>
      <w:r>
        <w:t xml:space="preserve"> system, there are 6 fields dedicated to Program tracking: function, activity, program, element, Program Cost Account (</w:t>
      </w:r>
      <w:r w:rsidRPr="00D84737">
        <w:t>PCA</w:t>
      </w:r>
      <w:r>
        <w:t xml:space="preserve">), and PCA level 1. Some agencies use the fields redundantly, and some use a field for </w:t>
      </w:r>
      <w:r w:rsidR="009A6A72">
        <w:t>a</w:t>
      </w:r>
      <w:r>
        <w:t xml:space="preserve"> purpose </w:t>
      </w:r>
      <w:r w:rsidR="009A6A72">
        <w:t>better suited for another field</w:t>
      </w:r>
      <w:r>
        <w:t xml:space="preserve"> (location, for example). Through well-designed Program dimension hierarchies in conjunction with other dimensions, agency code plus up to 12 alphanumeric places should give agencies flexibility to meet their reporting requirements.</w:t>
      </w:r>
    </w:p>
    <w:p w14:paraId="6D187AEB" w14:textId="256F10E4" w:rsidR="00F24BA7" w:rsidRDefault="00F24BA7" w:rsidP="00270473">
      <w:pPr>
        <w:pStyle w:val="Heading2"/>
      </w:pPr>
      <w:bookmarkStart w:id="64" w:name="_Toc68532158"/>
      <w:r>
        <w:t>Appropriation</w:t>
      </w:r>
      <w:r w:rsidR="00AF6BFB">
        <w:rPr>
          <w:rStyle w:val="FootnoteReference"/>
        </w:rPr>
        <w:footnoteReference w:id="2"/>
      </w:r>
      <w:bookmarkEnd w:id="64"/>
    </w:p>
    <w:p w14:paraId="5F3077BD" w14:textId="77777777" w:rsidR="00F24BA7" w:rsidRPr="001F0681" w:rsidRDefault="00F24BA7" w:rsidP="00F24BA7">
      <w:pPr>
        <w:spacing w:after="120"/>
        <w:rPr>
          <w:u w:val="single"/>
        </w:rPr>
      </w:pPr>
      <w:r>
        <w:rPr>
          <w:u w:val="single"/>
        </w:rPr>
        <w:t>Dimension Purpose and Usage</w:t>
      </w:r>
    </w:p>
    <w:p w14:paraId="616E7CED" w14:textId="7F134AF8" w:rsidR="00F24BA7" w:rsidRPr="001F0681" w:rsidRDefault="00F24BA7" w:rsidP="00F24BA7">
      <w:pPr>
        <w:spacing w:after="120"/>
        <w:ind w:left="3456" w:hanging="3456"/>
        <w:rPr>
          <w:i/>
          <w:color w:val="FF0000"/>
        </w:rPr>
      </w:pPr>
      <w:r>
        <w:t>Purpose Definition</w:t>
      </w:r>
      <w:r>
        <w:tab/>
      </w:r>
      <w:r w:rsidRPr="00444962">
        <w:rPr>
          <w:i/>
        </w:rPr>
        <w:t>Used to identify a</w:t>
      </w:r>
      <w:r>
        <w:rPr>
          <w:i/>
        </w:rPr>
        <w:t xml:space="preserve"> program or</w:t>
      </w:r>
      <w:r w:rsidRPr="00444962">
        <w:rPr>
          <w:i/>
        </w:rPr>
        <w:t xml:space="preserve"> segment of an agency for which the legislature has set spending controls</w:t>
      </w:r>
      <w:r>
        <w:rPr>
          <w:i/>
        </w:rPr>
        <w:t>. Agency appropriations align with specific state goals and performance objectives.</w:t>
      </w:r>
    </w:p>
    <w:p w14:paraId="66BB862F" w14:textId="204586D7" w:rsidR="00F24BA7" w:rsidRDefault="00F24BA7" w:rsidP="00F24BA7">
      <w:pPr>
        <w:spacing w:after="120"/>
        <w:ind w:left="3456" w:hanging="3456"/>
      </w:pPr>
      <w:r>
        <w:t>Purpose Rationale</w:t>
      </w:r>
      <w:r>
        <w:tab/>
        <w:t>Stand-alone dimension that can be paired with</w:t>
      </w:r>
      <w:r w:rsidR="002B00A2">
        <w:t xml:space="preserve"> or defaulted from</w:t>
      </w:r>
      <w:r>
        <w:t xml:space="preserve"> the </w:t>
      </w:r>
      <w:r w:rsidR="002B00A2">
        <w:t xml:space="preserve">Project, </w:t>
      </w:r>
      <w:r>
        <w:t>Organizational Unit or Program dimension to set appropriation and spending controls for agencies based on their annual appropriation bill.</w:t>
      </w:r>
    </w:p>
    <w:p w14:paraId="43179D1B" w14:textId="77777777" w:rsidR="00F24BA7" w:rsidRPr="00036426" w:rsidRDefault="00F24BA7" w:rsidP="00F24BA7">
      <w:pPr>
        <w:spacing w:after="120"/>
        <w:rPr>
          <w:u w:val="single"/>
        </w:rPr>
      </w:pPr>
      <w:r w:rsidRPr="00036426">
        <w:rPr>
          <w:u w:val="single"/>
        </w:rPr>
        <w:t>Dimension Format</w:t>
      </w:r>
    </w:p>
    <w:p w14:paraId="7BF2DB17" w14:textId="77777777" w:rsidR="00F24BA7" w:rsidRPr="001F0681" w:rsidRDefault="00F24BA7" w:rsidP="00F24BA7">
      <w:pPr>
        <w:spacing w:after="120"/>
        <w:rPr>
          <w:color w:val="FF0000"/>
        </w:rPr>
      </w:pPr>
      <w:r w:rsidRPr="00036426">
        <w:t>Format Definitions</w:t>
      </w:r>
    </w:p>
    <w:p w14:paraId="2ECBE9BB" w14:textId="417EC08E" w:rsidR="00F24BA7" w:rsidRPr="00706D14" w:rsidRDefault="00F24BA7" w:rsidP="00F24BA7">
      <w:pPr>
        <w:spacing w:after="120"/>
        <w:ind w:left="576" w:firstLine="576"/>
        <w:rPr>
          <w:color w:val="FF0000"/>
        </w:rPr>
      </w:pPr>
      <w:r w:rsidRPr="00036426">
        <w:t>Keying Order</w:t>
      </w:r>
      <w:r w:rsidRPr="00706D14">
        <w:rPr>
          <w:color w:val="FF0000"/>
        </w:rPr>
        <w:tab/>
      </w:r>
      <w:r>
        <w:rPr>
          <w:color w:val="FF0000"/>
        </w:rPr>
        <w:t xml:space="preserve">          </w:t>
      </w:r>
      <w:r w:rsidRPr="00036426">
        <w:t xml:space="preserve">Placed </w:t>
      </w:r>
      <w:r w:rsidR="00F15D4C">
        <w:t>fif</w:t>
      </w:r>
      <w:r w:rsidRPr="00036426">
        <w:t>t</w:t>
      </w:r>
      <w:r>
        <w:t>h</w:t>
      </w:r>
      <w:r w:rsidRPr="00036426">
        <w:t xml:space="preserve"> in </w:t>
      </w:r>
      <w:r>
        <w:t>d</w:t>
      </w:r>
      <w:r w:rsidRPr="00036426">
        <w:t>imension order.</w:t>
      </w:r>
    </w:p>
    <w:p w14:paraId="5FD285D2" w14:textId="089188EF" w:rsidR="00F24BA7" w:rsidRDefault="00F24BA7" w:rsidP="00F24BA7">
      <w:pPr>
        <w:spacing w:after="120"/>
        <w:ind w:left="3447" w:hanging="2295"/>
      </w:pPr>
      <w:r w:rsidRPr="00E71919">
        <w:t xml:space="preserve">Summary Level 1 </w:t>
      </w:r>
      <w:r>
        <w:tab/>
      </w:r>
      <w:r>
        <w:rPr>
          <w:b/>
        </w:rPr>
        <w:t>State Goal</w:t>
      </w:r>
      <w:r w:rsidRPr="00EA36DD">
        <w:t>.</w:t>
      </w:r>
      <w:r>
        <w:rPr>
          <w:b/>
        </w:rPr>
        <w:t xml:space="preserve"> </w:t>
      </w:r>
      <w:r>
        <w:t>Required.</w:t>
      </w:r>
      <w:r w:rsidR="004704CA">
        <w:t xml:space="preserve"> Centrally-managed.</w:t>
      </w:r>
    </w:p>
    <w:p w14:paraId="2A64AFCB" w14:textId="3C86F8C0" w:rsidR="00F24BA7" w:rsidRPr="001F0681" w:rsidRDefault="00F24BA7" w:rsidP="00F24BA7">
      <w:pPr>
        <w:spacing w:after="120"/>
        <w:ind w:left="3447" w:hanging="2295"/>
        <w:rPr>
          <w:b/>
        </w:rPr>
      </w:pPr>
      <w:r w:rsidRPr="00E71919">
        <w:t xml:space="preserve">Summary Level </w:t>
      </w:r>
      <w:r>
        <w:t>2</w:t>
      </w:r>
      <w:r w:rsidRPr="00E71919">
        <w:t xml:space="preserve"> </w:t>
      </w:r>
      <w:r>
        <w:tab/>
      </w:r>
      <w:r>
        <w:rPr>
          <w:b/>
        </w:rPr>
        <w:t>State Objective</w:t>
      </w:r>
      <w:r w:rsidRPr="00EA36DD">
        <w:t>.</w:t>
      </w:r>
      <w:r>
        <w:rPr>
          <w:b/>
        </w:rPr>
        <w:t xml:space="preserve"> </w:t>
      </w:r>
      <w:r w:rsidRPr="00452564">
        <w:t>Required.</w:t>
      </w:r>
      <w:r w:rsidR="004704CA">
        <w:t xml:space="preserve"> Centrally-managed.</w:t>
      </w:r>
    </w:p>
    <w:p w14:paraId="73B8C4CD" w14:textId="08E403B4" w:rsidR="00F24BA7" w:rsidRPr="001F0681" w:rsidRDefault="00F24BA7" w:rsidP="00F24BA7">
      <w:pPr>
        <w:spacing w:after="120"/>
        <w:ind w:left="3447" w:hanging="2295"/>
      </w:pPr>
      <w:r w:rsidRPr="00E71919">
        <w:t>Posting Level</w:t>
      </w:r>
      <w:r>
        <w:tab/>
      </w:r>
      <w:r>
        <w:rPr>
          <w:b/>
        </w:rPr>
        <w:t>Appropriation</w:t>
      </w:r>
      <w:r w:rsidRPr="00EA36DD">
        <w:t>.</w:t>
      </w:r>
      <w:r>
        <w:rPr>
          <w:b/>
        </w:rPr>
        <w:t xml:space="preserve"> </w:t>
      </w:r>
      <w:r w:rsidRPr="00452564">
        <w:t>Required.</w:t>
      </w:r>
      <w:r w:rsidR="004704CA">
        <w:t xml:space="preserve"> Centrally-managed.</w:t>
      </w:r>
    </w:p>
    <w:p w14:paraId="1262E64F" w14:textId="77777777" w:rsidR="00F24BA7" w:rsidRPr="00E71919" w:rsidRDefault="00F24BA7" w:rsidP="00F24BA7">
      <w:pPr>
        <w:spacing w:after="120"/>
        <w:ind w:left="576" w:firstLine="576"/>
      </w:pPr>
      <w:r w:rsidRPr="00E71919">
        <w:lastRenderedPageBreak/>
        <w:t>Number of Levels</w:t>
      </w:r>
      <w:r w:rsidRPr="00E71919">
        <w:tab/>
      </w:r>
      <w:r>
        <w:t xml:space="preserve">          3 levels.</w:t>
      </w:r>
    </w:p>
    <w:p w14:paraId="772A25A9" w14:textId="77777777" w:rsidR="00F24BA7" w:rsidRPr="001F0681" w:rsidRDefault="00F24BA7" w:rsidP="00F24BA7">
      <w:pPr>
        <w:spacing w:after="120"/>
        <w:ind w:left="576" w:firstLine="576"/>
      </w:pPr>
      <w:r w:rsidRPr="00E71919">
        <w:t>Number of Children</w:t>
      </w:r>
      <w:r>
        <w:t xml:space="preserve">          Many.</w:t>
      </w:r>
      <w:r w:rsidRPr="00E71919">
        <w:t xml:space="preserve"> </w:t>
      </w:r>
    </w:p>
    <w:p w14:paraId="26F3B0BE" w14:textId="77777777" w:rsidR="00F24BA7" w:rsidRDefault="00F24BA7" w:rsidP="00F24BA7">
      <w:pPr>
        <w:spacing w:after="120"/>
        <w:ind w:left="3447" w:hanging="2295"/>
      </w:pPr>
      <w:r w:rsidRPr="003C5721">
        <w:t>Field Length Min</w:t>
      </w:r>
      <w:r>
        <w:t>/</w:t>
      </w:r>
      <w:r w:rsidRPr="007A54BA">
        <w:t>Max</w:t>
      </w:r>
      <w:r w:rsidRPr="003C5721">
        <w:tab/>
      </w:r>
      <w:r>
        <w:t>State Goal (INTEGER, 2); State Objective (INTEGER, 2); Appropriation (ALPHA, 4).</w:t>
      </w:r>
    </w:p>
    <w:p w14:paraId="6DD035AC" w14:textId="77777777" w:rsidR="00F24BA7" w:rsidRPr="001F0681" w:rsidRDefault="00F24BA7" w:rsidP="00F24BA7">
      <w:pPr>
        <w:spacing w:after="120"/>
        <w:rPr>
          <w:color w:val="FF0000"/>
        </w:rPr>
      </w:pPr>
      <w:r w:rsidRPr="007A54BA">
        <w:t xml:space="preserve">Format Rationale  </w:t>
      </w:r>
    </w:p>
    <w:p w14:paraId="67A800B7" w14:textId="3017249B" w:rsidR="00F24BA7" w:rsidRPr="001F0681" w:rsidRDefault="00F24BA7" w:rsidP="00F24BA7">
      <w:pPr>
        <w:spacing w:after="120"/>
        <w:ind w:left="3420" w:hanging="2268"/>
      </w:pPr>
      <w:r w:rsidRPr="008A7425">
        <w:t>Keying Order</w:t>
      </w:r>
      <w:r>
        <w:tab/>
        <w:t xml:space="preserve">Placed </w:t>
      </w:r>
      <w:r w:rsidR="004704CA">
        <w:t>in the middle of the</w:t>
      </w:r>
      <w:r>
        <w:t xml:space="preserve"> keying order, as appropriation will typically be </w:t>
      </w:r>
      <w:r w:rsidR="004704CA">
        <w:t>defaulted from or paired</w:t>
      </w:r>
      <w:r>
        <w:t xml:space="preserve"> </w:t>
      </w:r>
      <w:r w:rsidR="004704CA">
        <w:t>with</w:t>
      </w:r>
      <w:r>
        <w:t xml:space="preserve"> an</w:t>
      </w:r>
      <w:r w:rsidR="004704CA">
        <w:t xml:space="preserve"> upstream </w:t>
      </w:r>
      <w:r>
        <w:t xml:space="preserve">dimension </w:t>
      </w:r>
      <w:r w:rsidR="004704CA">
        <w:t>value</w:t>
      </w:r>
      <w:r>
        <w:t xml:space="preserve">. </w:t>
      </w:r>
      <w:r w:rsidR="00902143">
        <w:t xml:space="preserve">The dimension will be used to drive appropriation control in the Fund and Account dimensions through pairing and defaulting. </w:t>
      </w:r>
      <w:r>
        <w:t>Staff will rarely need to manually enter an appropriation</w:t>
      </w:r>
      <w:r w:rsidR="000A722B">
        <w:t xml:space="preserve"> if defaulting from the Project, Organizational Unit, or Program dimension</w:t>
      </w:r>
      <w:r>
        <w:t>.</w:t>
      </w:r>
      <w:r w:rsidRPr="008A7425">
        <w:tab/>
      </w:r>
      <w:r>
        <w:t xml:space="preserve"> </w:t>
      </w:r>
    </w:p>
    <w:p w14:paraId="333068CA" w14:textId="77777777" w:rsidR="00F24BA7" w:rsidRDefault="00F24BA7" w:rsidP="00F24BA7">
      <w:pPr>
        <w:spacing w:after="120"/>
        <w:ind w:left="3447" w:hanging="2295"/>
      </w:pPr>
      <w:r w:rsidRPr="00123BB5">
        <w:t>Summary Level 1</w:t>
      </w:r>
      <w:r>
        <w:tab/>
        <w:t>State Goal is used</w:t>
      </w:r>
      <w:r w:rsidRPr="00B37808">
        <w:t xml:space="preserve"> in </w:t>
      </w:r>
      <w:r w:rsidRPr="000A1E2F">
        <w:t>s</w:t>
      </w:r>
      <w:r w:rsidRPr="00B37808">
        <w:t xml:space="preserve">tatewide </w:t>
      </w:r>
      <w:r>
        <w:t>reporting.</w:t>
      </w:r>
    </w:p>
    <w:p w14:paraId="6330CDF8" w14:textId="77777777" w:rsidR="00F24BA7" w:rsidRPr="00D30528" w:rsidRDefault="00F24BA7" w:rsidP="00F24BA7">
      <w:pPr>
        <w:spacing w:after="120"/>
        <w:ind w:left="3447" w:hanging="2295"/>
      </w:pPr>
      <w:r w:rsidRPr="00123BB5">
        <w:t xml:space="preserve">Summary Level </w:t>
      </w:r>
      <w:r>
        <w:t>2</w:t>
      </w:r>
      <w:r>
        <w:tab/>
        <w:t xml:space="preserve">State Objective is </w:t>
      </w:r>
      <w:r w:rsidRPr="00B37808">
        <w:t xml:space="preserve">used in </w:t>
      </w:r>
      <w:r w:rsidRPr="000A1E2F">
        <w:t>s</w:t>
      </w:r>
      <w:r w:rsidRPr="00B37808">
        <w:t>tatewide</w:t>
      </w:r>
      <w:r>
        <w:t xml:space="preserve"> reporting.</w:t>
      </w:r>
    </w:p>
    <w:p w14:paraId="625A92F6" w14:textId="77777777" w:rsidR="00F24BA7" w:rsidRPr="00706D14" w:rsidRDefault="00F24BA7" w:rsidP="00F24BA7">
      <w:pPr>
        <w:spacing w:after="120"/>
        <w:ind w:left="3447" w:hanging="2295"/>
        <w:rPr>
          <w:color w:val="FF0000"/>
        </w:rPr>
      </w:pPr>
      <w:r w:rsidRPr="00D30528">
        <w:t>Posting Level</w:t>
      </w:r>
      <w:r w:rsidRPr="00D30528">
        <w:tab/>
      </w:r>
      <w:r>
        <w:t>Appropriation code ties directly to State appropriation as set by the legislature. Used to exert spending limits by program or organizational structure, fund, and account type (specifically expenditure types).</w:t>
      </w:r>
      <w:r w:rsidRPr="00D30528">
        <w:tab/>
        <w:t xml:space="preserve"> </w:t>
      </w:r>
    </w:p>
    <w:p w14:paraId="47C4C879" w14:textId="77777777" w:rsidR="00F24BA7" w:rsidRDefault="00F24BA7" w:rsidP="00F24BA7">
      <w:pPr>
        <w:ind w:left="1170"/>
      </w:pPr>
      <w:r w:rsidRPr="00D30528">
        <w:t>Number of Levels/</w:t>
      </w:r>
    </w:p>
    <w:p w14:paraId="634BB361" w14:textId="39379F1D" w:rsidR="00F24BA7" w:rsidRPr="001F0681" w:rsidRDefault="00F24BA7" w:rsidP="00F24BA7">
      <w:pPr>
        <w:spacing w:after="120"/>
        <w:ind w:left="3510" w:hanging="2340"/>
      </w:pPr>
      <w:r w:rsidRPr="00D30528">
        <w:t>Number of Children</w:t>
      </w:r>
      <w:r>
        <w:t xml:space="preserve">          Determined by SCO/DFM to meet financial and performance</w:t>
      </w:r>
      <w:r w:rsidR="00375658">
        <w:t xml:space="preserve"> </w:t>
      </w:r>
      <w:r>
        <w:t>reporting needs.</w:t>
      </w:r>
    </w:p>
    <w:p w14:paraId="53430EA1" w14:textId="5081F00E" w:rsidR="00F24BA7" w:rsidRPr="003D3733" w:rsidRDefault="00F24BA7" w:rsidP="00D010BD">
      <w:pPr>
        <w:spacing w:after="120"/>
        <w:ind w:left="3456" w:hanging="2301"/>
      </w:pPr>
      <w:r w:rsidRPr="00291CE2">
        <w:t>Field Length Min</w:t>
      </w:r>
      <w:r>
        <w:t>/</w:t>
      </w:r>
      <w:r w:rsidRPr="00291CE2">
        <w:t>Max</w:t>
      </w:r>
      <w:r w:rsidRPr="00291CE2">
        <w:tab/>
      </w:r>
      <w:r>
        <w:t>Coding de</w:t>
      </w:r>
      <w:r w:rsidR="000C08EB">
        <w:t>termined</w:t>
      </w:r>
      <w:r>
        <w:t xml:space="preserve"> by SCO/DFM.</w:t>
      </w:r>
    </w:p>
    <w:p w14:paraId="460C28B6" w14:textId="3E9B5751" w:rsidR="00FC7F01" w:rsidRDefault="00FC7F01" w:rsidP="00270473">
      <w:pPr>
        <w:pStyle w:val="Heading2"/>
      </w:pPr>
      <w:bookmarkStart w:id="65" w:name="_Toc68532159"/>
      <w:r>
        <w:t>Fund</w:t>
      </w:r>
      <w:r w:rsidR="00AD712E">
        <w:rPr>
          <w:rStyle w:val="FootnoteReference"/>
        </w:rPr>
        <w:footnoteReference w:id="3"/>
      </w:r>
      <w:bookmarkEnd w:id="65"/>
    </w:p>
    <w:p w14:paraId="5B82BB49" w14:textId="77777777" w:rsidR="00F23299" w:rsidRPr="00F23299" w:rsidRDefault="00F23299" w:rsidP="00F23299">
      <w:pPr>
        <w:spacing w:after="120"/>
        <w:rPr>
          <w:u w:val="single"/>
        </w:rPr>
      </w:pPr>
      <w:r>
        <w:rPr>
          <w:u w:val="single"/>
        </w:rPr>
        <w:t>Dimension Purpose and Usage</w:t>
      </w:r>
    </w:p>
    <w:p w14:paraId="4157D24F" w14:textId="77777777" w:rsidR="00F23299" w:rsidRPr="00F23299" w:rsidRDefault="00F23299" w:rsidP="00F23299">
      <w:pPr>
        <w:spacing w:after="120"/>
        <w:ind w:left="3456" w:hanging="3456"/>
      </w:pPr>
      <w:r>
        <w:t>Purpose Definition</w:t>
      </w:r>
      <w:r>
        <w:tab/>
      </w:r>
      <w:r w:rsidRPr="00126B82">
        <w:rPr>
          <w:i/>
        </w:rPr>
        <w:t>Used to identify the accounting entity against which a transaction is recorded.</w:t>
      </w:r>
    </w:p>
    <w:p w14:paraId="612C0507" w14:textId="77777777" w:rsidR="00F23299" w:rsidRPr="00F23299" w:rsidRDefault="00F23299" w:rsidP="00F23299">
      <w:pPr>
        <w:spacing w:after="120"/>
        <w:ind w:left="3456" w:hanging="3456"/>
      </w:pPr>
      <w:r w:rsidRPr="00965404">
        <w:t>Purpose Rationale</w:t>
      </w:r>
      <w:r w:rsidRPr="00706D14">
        <w:rPr>
          <w:color w:val="FF0000"/>
        </w:rPr>
        <w:tab/>
      </w:r>
      <w:r w:rsidRPr="00FF432C">
        <w:t>A f</w:t>
      </w:r>
      <w:r w:rsidRPr="00FF432C">
        <w:rPr>
          <w:color w:val="000000"/>
          <w:shd w:val="clear" w:color="auto" w:fill="FFFFFF"/>
        </w:rPr>
        <w:t>und is an accounting entity with a self-balancing set of accounts. Cash and/or other resources together with all related liabilities, obligations, reserves, and equities are recorded in funds. Thus, a fund segregates the monies of the entity according</w:t>
      </w:r>
      <w:r w:rsidRPr="00965404">
        <w:rPr>
          <w:color w:val="000000"/>
          <w:shd w:val="clear" w:color="auto" w:fill="FFFFFF"/>
        </w:rPr>
        <w:t xml:space="preserve"> to legal or purpose restrictions. The Idaho </w:t>
      </w:r>
      <w:r w:rsidR="00020479">
        <w:rPr>
          <w:color w:val="000000"/>
          <w:shd w:val="clear" w:color="auto" w:fill="FFFFFF"/>
        </w:rPr>
        <w:t>L</w:t>
      </w:r>
      <w:r w:rsidR="00390F3A" w:rsidRPr="00965404">
        <w:rPr>
          <w:color w:val="000000"/>
          <w:shd w:val="clear" w:color="auto" w:fill="FFFFFF"/>
        </w:rPr>
        <w:t>egislature</w:t>
      </w:r>
      <w:r w:rsidRPr="00965404">
        <w:rPr>
          <w:color w:val="000000"/>
          <w:shd w:val="clear" w:color="auto" w:fill="FFFFFF"/>
        </w:rPr>
        <w:t xml:space="preserve"> appropriates by Fund</w:t>
      </w:r>
      <w:r w:rsidR="004B16DA">
        <w:rPr>
          <w:color w:val="000000"/>
          <w:shd w:val="clear" w:color="auto" w:fill="FFFFFF"/>
        </w:rPr>
        <w:t xml:space="preserve"> or Subfund</w:t>
      </w:r>
      <w:r w:rsidRPr="00965404">
        <w:rPr>
          <w:color w:val="000000"/>
          <w:shd w:val="clear" w:color="auto" w:fill="FFFFFF"/>
        </w:rPr>
        <w:t xml:space="preserve"> to meet certain objectives in accordance with laws, special regulations, restrictions, or limitations.</w:t>
      </w:r>
      <w:r w:rsidRPr="00E60F18">
        <w:t xml:space="preserve"> </w:t>
      </w:r>
      <w:r>
        <w:t>Statewide Comprehensive Annual Financial Reports (CAFR) are organized by fund type, fund subtype, and fund.</w:t>
      </w:r>
    </w:p>
    <w:p w14:paraId="70C9BFB2" w14:textId="6AFC8ED8" w:rsidR="00F23299" w:rsidRPr="00F23299" w:rsidRDefault="00F23299" w:rsidP="00F23299">
      <w:pPr>
        <w:spacing w:after="120"/>
        <w:ind w:left="3456" w:hanging="2880"/>
        <w:rPr>
          <w:color w:val="FF0000"/>
          <w:shd w:val="clear" w:color="auto" w:fill="FFFFFF"/>
        </w:rPr>
      </w:pPr>
      <w:r>
        <w:rPr>
          <w:color w:val="FF0000"/>
          <w:shd w:val="clear" w:color="auto" w:fill="FFFFFF"/>
        </w:rPr>
        <w:tab/>
      </w:r>
      <w:r w:rsidR="00450F58">
        <w:rPr>
          <w:shd w:val="clear" w:color="auto" w:fill="FFFFFF"/>
        </w:rPr>
        <w:t>Luma</w:t>
      </w:r>
      <w:r w:rsidRPr="000A1E2F">
        <w:rPr>
          <w:shd w:val="clear" w:color="auto" w:fill="FFFFFF"/>
        </w:rPr>
        <w:t xml:space="preserve"> uses the Fund dimension when posting financial transactions to check cash balance for payment processing</w:t>
      </w:r>
      <w:r w:rsidR="00AD3039">
        <w:rPr>
          <w:shd w:val="clear" w:color="auto" w:fill="FFFFFF"/>
        </w:rPr>
        <w:t xml:space="preserve">. </w:t>
      </w:r>
      <w:r w:rsidRPr="000A1E2F">
        <w:rPr>
          <w:shd w:val="clear" w:color="auto" w:fill="FFFFFF"/>
        </w:rPr>
        <w:t>Cash balance (or unused line of credit balances) must be in excess of the payment amount processed in order to proceed, as this is an indication of sufficient cash to cover the expenditure.</w:t>
      </w:r>
    </w:p>
    <w:p w14:paraId="06CC0DEC" w14:textId="77777777" w:rsidR="00F23299" w:rsidRPr="00F23299" w:rsidRDefault="00F23299" w:rsidP="00F23299">
      <w:pPr>
        <w:spacing w:after="120"/>
        <w:rPr>
          <w:u w:val="single"/>
        </w:rPr>
      </w:pPr>
      <w:r w:rsidRPr="00036426">
        <w:rPr>
          <w:u w:val="single"/>
        </w:rPr>
        <w:lastRenderedPageBreak/>
        <w:t>Dimension Format</w:t>
      </w:r>
      <w:r w:rsidRPr="00706D14">
        <w:rPr>
          <w:color w:val="FF0000"/>
        </w:rPr>
        <w:tab/>
      </w:r>
    </w:p>
    <w:p w14:paraId="5D3ECCC2" w14:textId="77777777" w:rsidR="00F23299" w:rsidRPr="00036426" w:rsidRDefault="00F23299" w:rsidP="00F23299">
      <w:pPr>
        <w:spacing w:after="120"/>
      </w:pPr>
      <w:r w:rsidRPr="00036426">
        <w:t>Format Definitions</w:t>
      </w:r>
    </w:p>
    <w:p w14:paraId="4D4206E4" w14:textId="7600E323" w:rsidR="00F23299" w:rsidRPr="00F23299" w:rsidRDefault="00F23299" w:rsidP="00F23299">
      <w:pPr>
        <w:spacing w:after="120"/>
        <w:ind w:left="576" w:firstLine="576"/>
      </w:pPr>
      <w:r w:rsidRPr="00036426">
        <w:t>Keying Order</w:t>
      </w:r>
      <w:r w:rsidRPr="00036426">
        <w:tab/>
      </w:r>
      <w:r>
        <w:t xml:space="preserve">          </w:t>
      </w:r>
      <w:r w:rsidRPr="00036426">
        <w:t xml:space="preserve">Placed </w:t>
      </w:r>
      <w:r w:rsidR="005A74EE">
        <w:t>sixth</w:t>
      </w:r>
      <w:r w:rsidRPr="00036426">
        <w:t xml:space="preserve"> in </w:t>
      </w:r>
      <w:r>
        <w:t>d</w:t>
      </w:r>
      <w:r w:rsidRPr="00036426">
        <w:t>imension order.</w:t>
      </w:r>
    </w:p>
    <w:p w14:paraId="790F3F8D" w14:textId="77777777" w:rsidR="00F23299" w:rsidRPr="00692B29" w:rsidRDefault="00F23299" w:rsidP="00F23299">
      <w:pPr>
        <w:spacing w:after="120"/>
        <w:ind w:left="3447" w:hanging="2295"/>
        <w:rPr>
          <w:color w:val="FF0000"/>
        </w:rPr>
      </w:pPr>
      <w:r w:rsidRPr="00036426">
        <w:t>Summary Level 1</w:t>
      </w:r>
      <w:r w:rsidRPr="00706D14">
        <w:rPr>
          <w:color w:val="FF0000"/>
        </w:rPr>
        <w:t xml:space="preserve">  </w:t>
      </w:r>
      <w:r w:rsidRPr="00706D14">
        <w:rPr>
          <w:color w:val="FF0000"/>
        </w:rPr>
        <w:tab/>
      </w:r>
      <w:r w:rsidRPr="007E7C75">
        <w:rPr>
          <w:b/>
        </w:rPr>
        <w:t>Fund Type</w:t>
      </w:r>
      <w:r>
        <w:t xml:space="preserve"> </w:t>
      </w:r>
      <w:r w:rsidRPr="003B65A4">
        <w:t>(governmental, proprietary, and fi</w:t>
      </w:r>
      <w:r>
        <w:t>d</w:t>
      </w:r>
      <w:r w:rsidRPr="003B65A4">
        <w:t>uciary</w:t>
      </w:r>
      <w:r>
        <w:t>)</w:t>
      </w:r>
      <w:r w:rsidR="00AD3039">
        <w:t xml:space="preserve">. </w:t>
      </w:r>
      <w:r>
        <w:t>Determined by and set-up through COA governance process</w:t>
      </w:r>
      <w:r w:rsidR="00692B29">
        <w:t>).</w:t>
      </w:r>
    </w:p>
    <w:p w14:paraId="5906058C" w14:textId="1B16A609" w:rsidR="00F23299" w:rsidRPr="00F23299" w:rsidRDefault="00F23299" w:rsidP="00F23299">
      <w:pPr>
        <w:spacing w:after="120"/>
        <w:ind w:left="3447" w:hanging="2295"/>
      </w:pPr>
      <w:r w:rsidRPr="003B65A4">
        <w:t>Summary Level 2</w:t>
      </w:r>
      <w:r w:rsidRPr="00706D14">
        <w:rPr>
          <w:color w:val="FF0000"/>
        </w:rPr>
        <w:tab/>
      </w:r>
      <w:r w:rsidRPr="002167CB">
        <w:rPr>
          <w:b/>
        </w:rPr>
        <w:t>Fund Sub</w:t>
      </w:r>
      <w:r>
        <w:rPr>
          <w:b/>
        </w:rPr>
        <w:t>t</w:t>
      </w:r>
      <w:r w:rsidRPr="002167CB">
        <w:rPr>
          <w:b/>
        </w:rPr>
        <w:t>ype</w:t>
      </w:r>
      <w:r w:rsidRPr="003B65A4">
        <w:t xml:space="preserve"> (general fund, special revenue fund, enterprise fund, internal service fund, investment fund, pension fund, etc.)</w:t>
      </w:r>
      <w:r w:rsidR="00AD3039">
        <w:t xml:space="preserve">. </w:t>
      </w:r>
      <w:r>
        <w:t>Determined by and set-up through</w:t>
      </w:r>
      <w:r w:rsidR="001A5DBB">
        <w:t xml:space="preserve"> </w:t>
      </w:r>
      <w:r>
        <w:t>COA governance process</w:t>
      </w:r>
      <w:r w:rsidR="00AD3039">
        <w:t xml:space="preserve">. </w:t>
      </w:r>
    </w:p>
    <w:p w14:paraId="570FB97A" w14:textId="77777777" w:rsidR="00F23299" w:rsidRPr="00F23299" w:rsidRDefault="00F23299" w:rsidP="00F23299">
      <w:pPr>
        <w:spacing w:after="120"/>
        <w:ind w:left="3447" w:hanging="2295"/>
      </w:pPr>
      <w:r w:rsidRPr="003B65A4">
        <w:t>Summary Level 3</w:t>
      </w:r>
      <w:r w:rsidRPr="003B65A4">
        <w:tab/>
      </w:r>
      <w:r w:rsidRPr="005E5490">
        <w:rPr>
          <w:b/>
        </w:rPr>
        <w:t>Fund</w:t>
      </w:r>
      <w:r w:rsidR="00EA36DD" w:rsidRPr="00EA36DD">
        <w:t>.</w:t>
      </w:r>
      <w:r w:rsidR="00AD3039">
        <w:rPr>
          <w:b/>
        </w:rPr>
        <w:t xml:space="preserve"> </w:t>
      </w:r>
      <w:r>
        <w:t>Determined by and set-up through COA governance process.</w:t>
      </w:r>
    </w:p>
    <w:p w14:paraId="114B738F" w14:textId="77777777" w:rsidR="00F23299" w:rsidRPr="00F23299" w:rsidRDefault="00F23299" w:rsidP="00F23299">
      <w:pPr>
        <w:spacing w:after="120"/>
        <w:ind w:left="3447" w:hanging="2295"/>
      </w:pPr>
      <w:r w:rsidRPr="003B65A4">
        <w:t>Posting Level</w:t>
      </w:r>
      <w:r w:rsidRPr="003B65A4">
        <w:tab/>
      </w:r>
      <w:r w:rsidRPr="005E5490">
        <w:rPr>
          <w:b/>
        </w:rPr>
        <w:t>Subfund</w:t>
      </w:r>
      <w:r w:rsidR="00AD3039">
        <w:t xml:space="preserve">. </w:t>
      </w:r>
      <w:r>
        <w:t>Determined by and set-up through COA governance process.</w:t>
      </w:r>
    </w:p>
    <w:p w14:paraId="169D008E" w14:textId="77777777" w:rsidR="00F23299" w:rsidRPr="00F23299" w:rsidRDefault="00F23299" w:rsidP="00F23299">
      <w:pPr>
        <w:spacing w:after="120"/>
        <w:ind w:left="576" w:firstLine="576"/>
      </w:pPr>
      <w:r w:rsidRPr="0063555E">
        <w:t>Number of Levels</w:t>
      </w:r>
      <w:r w:rsidRPr="0063555E">
        <w:tab/>
      </w:r>
      <w:r>
        <w:t xml:space="preserve">          </w:t>
      </w:r>
      <w:r w:rsidRPr="0063555E">
        <w:t>4 levels within this dimension.</w:t>
      </w:r>
    </w:p>
    <w:p w14:paraId="202B05A1" w14:textId="77777777" w:rsidR="00F23299" w:rsidRPr="00706D14" w:rsidRDefault="00F23299" w:rsidP="00F23299">
      <w:pPr>
        <w:spacing w:after="120"/>
        <w:ind w:left="3447" w:hanging="2295"/>
        <w:rPr>
          <w:color w:val="FF0000"/>
        </w:rPr>
      </w:pPr>
      <w:r w:rsidRPr="0063555E">
        <w:t>Number of Children</w:t>
      </w:r>
      <w:r w:rsidRPr="0063555E">
        <w:tab/>
        <w:t>Unlimited</w:t>
      </w:r>
      <w:r w:rsidR="00AD3039">
        <w:t xml:space="preserve">. </w:t>
      </w:r>
      <w:r>
        <w:t>Determined by and set-up through COA governance process.</w:t>
      </w:r>
    </w:p>
    <w:p w14:paraId="2D83B440" w14:textId="4AD20398" w:rsidR="00F23299" w:rsidRDefault="00F23299" w:rsidP="00F23299">
      <w:pPr>
        <w:spacing w:after="120"/>
        <w:ind w:left="3447" w:hanging="2295"/>
        <w:rPr>
          <w:color w:val="FF0000"/>
        </w:rPr>
      </w:pPr>
      <w:r w:rsidRPr="003862D0">
        <w:t>Field Length Min</w:t>
      </w:r>
      <w:r>
        <w:t>/Max:</w:t>
      </w:r>
      <w:r w:rsidRPr="00706D14">
        <w:rPr>
          <w:color w:val="FF0000"/>
        </w:rPr>
        <w:tab/>
      </w:r>
      <w:r w:rsidRPr="00B27E50">
        <w:t xml:space="preserve">Summary </w:t>
      </w:r>
      <w:r w:rsidRPr="00B56017">
        <w:t xml:space="preserve">Level 1 - </w:t>
      </w:r>
      <w:r w:rsidRPr="00B27E50">
        <w:rPr>
          <w:i/>
        </w:rPr>
        <w:t>Fund Type</w:t>
      </w:r>
      <w:r>
        <w:t xml:space="preserve"> (ALPHA, 1)</w:t>
      </w:r>
      <w:r w:rsidR="00AD3039">
        <w:t xml:space="preserve">. </w:t>
      </w:r>
      <w:r>
        <w:t>Governmental: G, Proprietary: P, Fiduciary: F</w:t>
      </w:r>
      <w:r w:rsidR="00A01F61">
        <w:t>, Non CAFR Reporting: N</w:t>
      </w:r>
      <w:r>
        <w:t>.</w:t>
      </w:r>
      <w:r w:rsidRPr="00706D14">
        <w:rPr>
          <w:color w:val="FF0000"/>
        </w:rPr>
        <w:tab/>
      </w:r>
    </w:p>
    <w:p w14:paraId="30A6CF05" w14:textId="4EEC6589" w:rsidR="00F23299" w:rsidRDefault="00F23299" w:rsidP="00F23299">
      <w:pPr>
        <w:spacing w:after="120"/>
        <w:ind w:left="3447"/>
      </w:pPr>
      <w:r>
        <w:t xml:space="preserve">Summary Level 2 </w:t>
      </w:r>
      <w:r w:rsidR="00410CC6">
        <w:t>-</w:t>
      </w:r>
      <w:r>
        <w:t xml:space="preserve"> </w:t>
      </w:r>
      <w:r w:rsidRPr="00B27E50">
        <w:rPr>
          <w:i/>
        </w:rPr>
        <w:t>Fund Subtype</w:t>
      </w:r>
      <w:r>
        <w:t xml:space="preserve"> (ALPHA,</w:t>
      </w:r>
      <w:r w:rsidR="0093212A">
        <w:t xml:space="preserve"> 3</w:t>
      </w:r>
      <w:r>
        <w:t>)</w:t>
      </w:r>
      <w:r w:rsidR="00AD3039">
        <w:t xml:space="preserve">. </w:t>
      </w:r>
      <w:r w:rsidR="002042CC">
        <w:t>Governmental</w:t>
      </w:r>
      <w:r>
        <w:t xml:space="preserve">: </w:t>
      </w:r>
      <w:r w:rsidR="00B007B6">
        <w:t>GEN</w:t>
      </w:r>
      <w:r w:rsidR="002042CC">
        <w:t xml:space="preserve"> (General Fund), GIE (Income Funds)</w:t>
      </w:r>
      <w:r>
        <w:t xml:space="preserve">, </w:t>
      </w:r>
      <w:r w:rsidR="002042CC">
        <w:t>Proprietary: IGI (Group Insurance Acct), IRM (Retained Risk Acct), Fiduciary: FAC (Custodial Funds</w:t>
      </w:r>
      <w:r w:rsidR="00EF5E0A">
        <w:t>)</w:t>
      </w:r>
      <w:r w:rsidR="002042CC">
        <w:t xml:space="preserve">, FAP (Payroll Clearing). </w:t>
      </w:r>
      <w:r w:rsidR="004963DA">
        <w:t xml:space="preserve">This is not the comprehensive list of Summary Level 2 Fund Subtypes but rather a small sample of each. </w:t>
      </w:r>
    </w:p>
    <w:p w14:paraId="0A60CF82" w14:textId="77777777" w:rsidR="00F23299" w:rsidRDefault="00F23299" w:rsidP="00F23299">
      <w:pPr>
        <w:spacing w:after="120"/>
        <w:ind w:left="3447"/>
      </w:pPr>
      <w:r>
        <w:t xml:space="preserve">Summary Level 3 </w:t>
      </w:r>
      <w:r w:rsidR="00410CC6">
        <w:t>-</w:t>
      </w:r>
      <w:r>
        <w:t xml:space="preserve"> </w:t>
      </w:r>
      <w:r w:rsidRPr="00B27E50">
        <w:rPr>
          <w:i/>
        </w:rPr>
        <w:t>Fund</w:t>
      </w:r>
      <w:r>
        <w:t xml:space="preserve"> (INTEGER, 3), no leading zeroes.</w:t>
      </w:r>
    </w:p>
    <w:p w14:paraId="3F0555CA" w14:textId="77777777" w:rsidR="00F23299" w:rsidRDefault="00F23299" w:rsidP="00F23299">
      <w:pPr>
        <w:spacing w:after="120"/>
        <w:ind w:left="3447"/>
      </w:pPr>
      <w:r>
        <w:t xml:space="preserve">Posting Level 4 - </w:t>
      </w:r>
      <w:r w:rsidRPr="00B27E50">
        <w:rPr>
          <w:i/>
        </w:rPr>
        <w:t xml:space="preserve">Subfund </w:t>
      </w:r>
      <w:r>
        <w:t>(INTEGER</w:t>
      </w:r>
      <w:r w:rsidR="00995367">
        <w:t>,</w:t>
      </w:r>
      <w:r>
        <w:t xml:space="preserve"> 5)</w:t>
      </w:r>
      <w:r w:rsidR="00AD3039">
        <w:t xml:space="preserve">. </w:t>
      </w:r>
      <w:r>
        <w:t>Fund + (INTEGER, 2).</w:t>
      </w:r>
    </w:p>
    <w:p w14:paraId="35C06296" w14:textId="77777777" w:rsidR="00692B29" w:rsidRDefault="00F23299" w:rsidP="00666D71">
      <w:pPr>
        <w:spacing w:after="120"/>
        <w:ind w:left="3447"/>
      </w:pPr>
      <w:r>
        <w:t xml:space="preserve">Subfund numbering will </w:t>
      </w:r>
      <w:r w:rsidR="002042CC">
        <w:t xml:space="preserve">generally </w:t>
      </w:r>
      <w:r>
        <w:t>be based on legacy STAR</w:t>
      </w:r>
      <w:r w:rsidR="00EF5E0A">
        <w:t>S</w:t>
      </w:r>
      <w:r>
        <w:t xml:space="preserve"> numbering, with the following modifications:</w:t>
      </w:r>
      <w:r w:rsidRPr="003862D0">
        <w:t xml:space="preserve"> the </w:t>
      </w:r>
      <w:r>
        <w:t xml:space="preserve">first </w:t>
      </w:r>
      <w:r w:rsidRPr="003862D0">
        <w:t xml:space="preserve">leading zero </w:t>
      </w:r>
      <w:r>
        <w:t xml:space="preserve">will be dropped, funds with more than one leading zero will be renumbered, and funds with no </w:t>
      </w:r>
      <w:r w:rsidR="002F05E5">
        <w:t>S</w:t>
      </w:r>
      <w:r>
        <w:t xml:space="preserve">ubfund will be succeeded by ‘00’, as follows: </w:t>
      </w:r>
    </w:p>
    <w:tbl>
      <w:tblPr>
        <w:tblStyle w:val="TableGrid"/>
        <w:tblW w:w="9360" w:type="dxa"/>
        <w:jc w:val="center"/>
        <w:tblLook w:val="04A0" w:firstRow="1" w:lastRow="0" w:firstColumn="1" w:lastColumn="0" w:noHBand="0" w:noVBand="1"/>
      </w:tblPr>
      <w:tblGrid>
        <w:gridCol w:w="3120"/>
        <w:gridCol w:w="3120"/>
        <w:gridCol w:w="3120"/>
      </w:tblGrid>
      <w:tr w:rsidR="00F23299" w:rsidRPr="00F23299" w14:paraId="735C7A43" w14:textId="77777777" w:rsidTr="00F23299">
        <w:trPr>
          <w:jc w:val="center"/>
        </w:trPr>
        <w:tc>
          <w:tcPr>
            <w:tcW w:w="3116" w:type="dxa"/>
            <w:shd w:val="clear" w:color="auto" w:fill="092F57"/>
            <w:vAlign w:val="center"/>
          </w:tcPr>
          <w:p w14:paraId="3092F3E1" w14:textId="77777777" w:rsidR="00F23299" w:rsidRPr="00F23299" w:rsidRDefault="00F23299" w:rsidP="00EB2240">
            <w:pPr>
              <w:spacing w:before="60" w:after="60"/>
              <w:jc w:val="center"/>
              <w:rPr>
                <w:b/>
                <w:sz w:val="18"/>
              </w:rPr>
            </w:pPr>
            <w:r w:rsidRPr="00F23299">
              <w:rPr>
                <w:b/>
                <w:sz w:val="18"/>
              </w:rPr>
              <w:t>Fund (Legacy STARS System)</w:t>
            </w:r>
          </w:p>
        </w:tc>
        <w:tc>
          <w:tcPr>
            <w:tcW w:w="3117" w:type="dxa"/>
            <w:shd w:val="clear" w:color="auto" w:fill="092F57"/>
            <w:vAlign w:val="center"/>
          </w:tcPr>
          <w:p w14:paraId="10A2BAFC" w14:textId="77777777" w:rsidR="00F23299" w:rsidRPr="00F23299" w:rsidRDefault="00F23299" w:rsidP="00EB2240">
            <w:pPr>
              <w:spacing w:before="60" w:after="60"/>
              <w:jc w:val="center"/>
              <w:rPr>
                <w:b/>
                <w:sz w:val="18"/>
              </w:rPr>
            </w:pPr>
            <w:r w:rsidRPr="00F23299">
              <w:rPr>
                <w:b/>
                <w:sz w:val="18"/>
              </w:rPr>
              <w:t>Fund Detail (Legacy STARS System)</w:t>
            </w:r>
          </w:p>
        </w:tc>
        <w:tc>
          <w:tcPr>
            <w:tcW w:w="3117" w:type="dxa"/>
            <w:shd w:val="clear" w:color="auto" w:fill="092F57"/>
            <w:vAlign w:val="center"/>
          </w:tcPr>
          <w:p w14:paraId="4DEC0A85" w14:textId="77777777" w:rsidR="00F23299" w:rsidRPr="00F23299" w:rsidRDefault="00F23299" w:rsidP="00EB2240">
            <w:pPr>
              <w:spacing w:before="60" w:after="60"/>
              <w:jc w:val="center"/>
              <w:rPr>
                <w:b/>
                <w:sz w:val="18"/>
              </w:rPr>
            </w:pPr>
            <w:r w:rsidRPr="00F23299">
              <w:rPr>
                <w:b/>
                <w:sz w:val="18"/>
              </w:rPr>
              <w:t>Subfund (</w:t>
            </w:r>
            <w:r w:rsidR="00450F58">
              <w:rPr>
                <w:b/>
                <w:sz w:val="18"/>
              </w:rPr>
              <w:t>Luma</w:t>
            </w:r>
            <w:r w:rsidRPr="00F23299">
              <w:rPr>
                <w:b/>
                <w:sz w:val="18"/>
              </w:rPr>
              <w:t xml:space="preserve"> Application)</w:t>
            </w:r>
          </w:p>
        </w:tc>
      </w:tr>
      <w:tr w:rsidR="00F23299" w:rsidRPr="00F23299" w14:paraId="15D85B95" w14:textId="77777777" w:rsidTr="00F23299">
        <w:trPr>
          <w:jc w:val="center"/>
        </w:trPr>
        <w:tc>
          <w:tcPr>
            <w:tcW w:w="3116" w:type="dxa"/>
            <w:vAlign w:val="center"/>
          </w:tcPr>
          <w:p w14:paraId="3DCB5666" w14:textId="77777777" w:rsidR="00F23299" w:rsidRPr="00F23299" w:rsidRDefault="00F23299" w:rsidP="00EB2240">
            <w:pPr>
              <w:spacing w:before="60" w:after="60"/>
              <w:jc w:val="center"/>
              <w:rPr>
                <w:sz w:val="18"/>
              </w:rPr>
            </w:pPr>
            <w:r w:rsidRPr="00F23299">
              <w:rPr>
                <w:sz w:val="18"/>
              </w:rPr>
              <w:t>0348</w:t>
            </w:r>
          </w:p>
        </w:tc>
        <w:tc>
          <w:tcPr>
            <w:tcW w:w="3117" w:type="dxa"/>
            <w:vAlign w:val="center"/>
          </w:tcPr>
          <w:p w14:paraId="3CBE5CD9" w14:textId="77777777" w:rsidR="00F23299" w:rsidRPr="00F23299" w:rsidRDefault="00F23299" w:rsidP="00EB2240">
            <w:pPr>
              <w:spacing w:before="60" w:after="60"/>
              <w:jc w:val="center"/>
              <w:rPr>
                <w:sz w:val="18"/>
              </w:rPr>
            </w:pPr>
            <w:r w:rsidRPr="00F23299">
              <w:rPr>
                <w:sz w:val="18"/>
              </w:rPr>
              <w:t>02</w:t>
            </w:r>
          </w:p>
        </w:tc>
        <w:tc>
          <w:tcPr>
            <w:tcW w:w="3117" w:type="dxa"/>
            <w:vAlign w:val="center"/>
          </w:tcPr>
          <w:p w14:paraId="6DFCC9D8" w14:textId="77777777" w:rsidR="00F23299" w:rsidRPr="00F23299" w:rsidRDefault="00F23299" w:rsidP="00EB2240">
            <w:pPr>
              <w:spacing w:before="60" w:after="60"/>
              <w:jc w:val="center"/>
              <w:rPr>
                <w:sz w:val="18"/>
              </w:rPr>
            </w:pPr>
            <w:r w:rsidRPr="00F23299">
              <w:rPr>
                <w:sz w:val="18"/>
              </w:rPr>
              <w:t>34802</w:t>
            </w:r>
            <w:r w:rsidR="00020479">
              <w:rPr>
                <w:sz w:val="18"/>
              </w:rPr>
              <w:t>*</w:t>
            </w:r>
          </w:p>
        </w:tc>
      </w:tr>
      <w:tr w:rsidR="00F23299" w:rsidRPr="00F23299" w14:paraId="2909568C" w14:textId="77777777" w:rsidTr="00F23299">
        <w:trPr>
          <w:jc w:val="center"/>
        </w:trPr>
        <w:tc>
          <w:tcPr>
            <w:tcW w:w="3116" w:type="dxa"/>
            <w:vAlign w:val="center"/>
          </w:tcPr>
          <w:p w14:paraId="283E1D33" w14:textId="77777777" w:rsidR="00F23299" w:rsidRPr="00F23299" w:rsidRDefault="00F23299" w:rsidP="00EB2240">
            <w:pPr>
              <w:spacing w:before="60" w:after="60"/>
              <w:jc w:val="center"/>
              <w:rPr>
                <w:sz w:val="18"/>
              </w:rPr>
            </w:pPr>
            <w:r w:rsidRPr="00F23299">
              <w:rPr>
                <w:sz w:val="18"/>
              </w:rPr>
              <w:t>0401</w:t>
            </w:r>
          </w:p>
        </w:tc>
        <w:tc>
          <w:tcPr>
            <w:tcW w:w="3117" w:type="dxa"/>
            <w:vAlign w:val="center"/>
          </w:tcPr>
          <w:p w14:paraId="71F2FE99" w14:textId="1160D6CF" w:rsidR="00F23299" w:rsidRPr="00F23299" w:rsidRDefault="00854ABD" w:rsidP="00EB2240">
            <w:pPr>
              <w:spacing w:before="60" w:after="60"/>
              <w:jc w:val="center"/>
              <w:rPr>
                <w:sz w:val="18"/>
              </w:rPr>
            </w:pPr>
            <w:r>
              <w:rPr>
                <w:sz w:val="18"/>
              </w:rPr>
              <w:t>N</w:t>
            </w:r>
            <w:r w:rsidR="00F23299" w:rsidRPr="00F23299">
              <w:rPr>
                <w:sz w:val="18"/>
              </w:rPr>
              <w:t>o fund detail</w:t>
            </w:r>
          </w:p>
        </w:tc>
        <w:tc>
          <w:tcPr>
            <w:tcW w:w="3117" w:type="dxa"/>
            <w:vAlign w:val="center"/>
          </w:tcPr>
          <w:p w14:paraId="121E21F4" w14:textId="77777777" w:rsidR="00F23299" w:rsidRPr="00F23299" w:rsidRDefault="00F23299" w:rsidP="00EB2240">
            <w:pPr>
              <w:spacing w:before="60" w:after="60"/>
              <w:jc w:val="center"/>
              <w:rPr>
                <w:sz w:val="18"/>
              </w:rPr>
            </w:pPr>
            <w:r w:rsidRPr="00F23299">
              <w:rPr>
                <w:sz w:val="18"/>
              </w:rPr>
              <w:t>40100</w:t>
            </w:r>
          </w:p>
        </w:tc>
      </w:tr>
      <w:tr w:rsidR="00F23299" w:rsidRPr="00F23299" w14:paraId="448625B9" w14:textId="77777777" w:rsidTr="00F23299">
        <w:trPr>
          <w:jc w:val="center"/>
        </w:trPr>
        <w:tc>
          <w:tcPr>
            <w:tcW w:w="3116" w:type="dxa"/>
            <w:vAlign w:val="center"/>
          </w:tcPr>
          <w:p w14:paraId="664A0895" w14:textId="77777777" w:rsidR="00F23299" w:rsidRPr="00F23299" w:rsidRDefault="00F23299" w:rsidP="00EB2240">
            <w:pPr>
              <w:spacing w:before="60" w:after="60"/>
              <w:jc w:val="center"/>
              <w:rPr>
                <w:sz w:val="18"/>
              </w:rPr>
            </w:pPr>
            <w:r w:rsidRPr="00F23299">
              <w:rPr>
                <w:sz w:val="18"/>
              </w:rPr>
              <w:t>0050</w:t>
            </w:r>
          </w:p>
        </w:tc>
        <w:tc>
          <w:tcPr>
            <w:tcW w:w="3117" w:type="dxa"/>
            <w:vAlign w:val="center"/>
          </w:tcPr>
          <w:p w14:paraId="41382029" w14:textId="77777777" w:rsidR="00F23299" w:rsidRPr="00F23299" w:rsidRDefault="00F23299" w:rsidP="00EB2240">
            <w:pPr>
              <w:spacing w:before="60" w:after="60"/>
              <w:jc w:val="center"/>
              <w:rPr>
                <w:sz w:val="18"/>
              </w:rPr>
            </w:pPr>
            <w:r w:rsidRPr="00F23299">
              <w:rPr>
                <w:sz w:val="18"/>
              </w:rPr>
              <w:t>03</w:t>
            </w:r>
          </w:p>
        </w:tc>
        <w:tc>
          <w:tcPr>
            <w:tcW w:w="3117" w:type="dxa"/>
            <w:vAlign w:val="center"/>
          </w:tcPr>
          <w:p w14:paraId="21368B2E" w14:textId="77777777" w:rsidR="00F23299" w:rsidRPr="00F23299" w:rsidRDefault="00F23299" w:rsidP="00EB2240">
            <w:pPr>
              <w:spacing w:before="60" w:after="60"/>
              <w:jc w:val="center"/>
              <w:rPr>
                <w:sz w:val="18"/>
              </w:rPr>
            </w:pPr>
            <w:r w:rsidRPr="00F23299">
              <w:rPr>
                <w:sz w:val="18"/>
              </w:rPr>
              <w:t>10503</w:t>
            </w:r>
          </w:p>
        </w:tc>
      </w:tr>
      <w:tr w:rsidR="00854ABD" w:rsidRPr="00F23299" w14:paraId="71A5EF25" w14:textId="77777777" w:rsidTr="00F23299">
        <w:trPr>
          <w:jc w:val="center"/>
        </w:trPr>
        <w:tc>
          <w:tcPr>
            <w:tcW w:w="3116" w:type="dxa"/>
            <w:vAlign w:val="center"/>
          </w:tcPr>
          <w:p w14:paraId="73FC4BBF" w14:textId="5E091C2B" w:rsidR="00854ABD" w:rsidRPr="00F23299" w:rsidRDefault="00854ABD" w:rsidP="00EB2240">
            <w:pPr>
              <w:spacing w:before="60" w:after="60"/>
              <w:jc w:val="center"/>
              <w:rPr>
                <w:sz w:val="18"/>
              </w:rPr>
            </w:pPr>
            <w:r>
              <w:rPr>
                <w:sz w:val="18"/>
              </w:rPr>
              <w:t>0001</w:t>
            </w:r>
          </w:p>
        </w:tc>
        <w:tc>
          <w:tcPr>
            <w:tcW w:w="3117" w:type="dxa"/>
            <w:vAlign w:val="center"/>
          </w:tcPr>
          <w:p w14:paraId="30F2CABC" w14:textId="4B1D703B" w:rsidR="00854ABD" w:rsidRPr="00F23299" w:rsidRDefault="00854ABD" w:rsidP="00EB2240">
            <w:pPr>
              <w:spacing w:before="60" w:after="60"/>
              <w:jc w:val="center"/>
              <w:rPr>
                <w:sz w:val="18"/>
              </w:rPr>
            </w:pPr>
            <w:r>
              <w:rPr>
                <w:sz w:val="18"/>
              </w:rPr>
              <w:t>No fund detail</w:t>
            </w:r>
          </w:p>
        </w:tc>
        <w:tc>
          <w:tcPr>
            <w:tcW w:w="3117" w:type="dxa"/>
            <w:vAlign w:val="center"/>
          </w:tcPr>
          <w:p w14:paraId="6D585AF2" w14:textId="0CFAB23E" w:rsidR="00854ABD" w:rsidRPr="00F23299" w:rsidRDefault="00854ABD" w:rsidP="00EB2240">
            <w:pPr>
              <w:spacing w:before="60" w:after="60"/>
              <w:jc w:val="center"/>
              <w:rPr>
                <w:sz w:val="18"/>
              </w:rPr>
            </w:pPr>
            <w:r>
              <w:rPr>
                <w:sz w:val="18"/>
              </w:rPr>
              <w:t>10000</w:t>
            </w:r>
          </w:p>
        </w:tc>
      </w:tr>
    </w:tbl>
    <w:p w14:paraId="69620505" w14:textId="77777777" w:rsidR="00020479" w:rsidRDefault="00020479" w:rsidP="00F23299">
      <w:pPr>
        <w:spacing w:after="120"/>
      </w:pPr>
      <w:r>
        <w:t>*For SCO and CAFR reporting purposes, Fund and Subfund will be preceded by a leading one when the Fund pertains to an outside entity (non-State agency). For example: 134802 instead of 34802.</w:t>
      </w:r>
    </w:p>
    <w:p w14:paraId="70677059" w14:textId="77777777" w:rsidR="00F23299" w:rsidRPr="00036426" w:rsidRDefault="00F23299" w:rsidP="00F23299">
      <w:pPr>
        <w:spacing w:after="120"/>
      </w:pPr>
      <w:r w:rsidRPr="00036426">
        <w:t xml:space="preserve">Format Rationale  </w:t>
      </w:r>
    </w:p>
    <w:p w14:paraId="4B4DF6E0" w14:textId="20D63D83" w:rsidR="00F23299" w:rsidRPr="00F23299" w:rsidRDefault="00F23299" w:rsidP="00F23299">
      <w:pPr>
        <w:spacing w:after="120"/>
        <w:ind w:left="3447" w:hanging="2295"/>
      </w:pPr>
      <w:r w:rsidRPr="002903EC">
        <w:t>Keying Order</w:t>
      </w:r>
      <w:r w:rsidRPr="002903EC">
        <w:tab/>
      </w:r>
      <w:r w:rsidR="00450F58">
        <w:t>Luma</w:t>
      </w:r>
      <w:r w:rsidRPr="002903EC">
        <w:t xml:space="preserve"> allows for downstream pairing and defaulting when keying transactions</w:t>
      </w:r>
      <w:r w:rsidR="00AD3039">
        <w:t xml:space="preserve">. </w:t>
      </w:r>
      <w:r w:rsidRPr="002903EC">
        <w:t xml:space="preserve">By placing the Fund dimension </w:t>
      </w:r>
      <w:r w:rsidR="00B8006A">
        <w:t>sixth</w:t>
      </w:r>
      <w:r w:rsidRPr="002903EC">
        <w:t xml:space="preserve"> in the keying order, </w:t>
      </w:r>
      <w:r>
        <w:t xml:space="preserve">agencies will be able to pair or default one or more </w:t>
      </w:r>
      <w:r>
        <w:lastRenderedPageBreak/>
        <w:t>downstream dimension</w:t>
      </w:r>
      <w:r w:rsidR="0033727B">
        <w:t xml:space="preserve"> values</w:t>
      </w:r>
      <w:r>
        <w:t xml:space="preserve"> </w:t>
      </w:r>
      <w:r w:rsidRPr="002903EC">
        <w:t>to reduce or eliminate unnecessary keying</w:t>
      </w:r>
      <w:r w:rsidR="0033727B">
        <w:t xml:space="preserve">, </w:t>
      </w:r>
      <w:r w:rsidRPr="002903EC">
        <w:t>increase efficiency</w:t>
      </w:r>
      <w:r w:rsidR="0033727B">
        <w:t>,</w:t>
      </w:r>
      <w:r w:rsidRPr="002903EC">
        <w:t xml:space="preserve"> and </w:t>
      </w:r>
      <w:r>
        <w:t>reduce</w:t>
      </w:r>
      <w:r w:rsidRPr="002903EC">
        <w:t xml:space="preserve"> errors</w:t>
      </w:r>
      <w:r w:rsidR="00AD3039">
        <w:t xml:space="preserve">. </w:t>
      </w:r>
    </w:p>
    <w:p w14:paraId="0904C2A0" w14:textId="4FF694FA" w:rsidR="00F23299" w:rsidRPr="00706D14" w:rsidRDefault="00F23299" w:rsidP="00F23299">
      <w:pPr>
        <w:spacing w:after="120"/>
        <w:ind w:left="3447" w:hanging="2295"/>
        <w:rPr>
          <w:color w:val="FF0000"/>
        </w:rPr>
      </w:pPr>
      <w:r w:rsidRPr="00965404">
        <w:t xml:space="preserve">Summary Level 1  </w:t>
      </w:r>
      <w:r w:rsidRPr="00965404">
        <w:tab/>
      </w:r>
      <w:r>
        <w:t xml:space="preserve">CAFR reporting is done at the </w:t>
      </w:r>
      <w:r w:rsidRPr="00965404">
        <w:t>Fund</w:t>
      </w:r>
      <w:r>
        <w:t xml:space="preserve"> Type level</w:t>
      </w:r>
      <w:r w:rsidR="00AD3039">
        <w:t xml:space="preserve">. </w:t>
      </w:r>
      <w:r>
        <w:t xml:space="preserve">Decision to build Fund Type into the </w:t>
      </w:r>
      <w:r w:rsidR="009A3F14">
        <w:t xml:space="preserve">Default </w:t>
      </w:r>
      <w:r>
        <w:t>hierarchy was made to facilitate CAFR reporting requirements.</w:t>
      </w:r>
      <w:r w:rsidRPr="00965404">
        <w:t xml:space="preserve"> </w:t>
      </w:r>
    </w:p>
    <w:p w14:paraId="16AB2009" w14:textId="11EB3271" w:rsidR="00F23299" w:rsidRPr="00F23299" w:rsidRDefault="00F23299" w:rsidP="00F23299">
      <w:pPr>
        <w:spacing w:after="120"/>
        <w:ind w:left="3447" w:hanging="2295"/>
      </w:pPr>
      <w:r w:rsidRPr="00011B8D">
        <w:t>Summary Level 2</w:t>
      </w:r>
      <w:r w:rsidRPr="00011B8D">
        <w:tab/>
      </w:r>
      <w:r>
        <w:t xml:space="preserve">CAFR reporting is done at the </w:t>
      </w:r>
      <w:r w:rsidRPr="00965404">
        <w:t>Fund</w:t>
      </w:r>
      <w:r>
        <w:t xml:space="preserve"> Subtype level</w:t>
      </w:r>
      <w:r w:rsidR="00AD3039">
        <w:t xml:space="preserve">. </w:t>
      </w:r>
      <w:r>
        <w:t xml:space="preserve">Decision to build Fund Subtype into the </w:t>
      </w:r>
      <w:r w:rsidR="001E72D3">
        <w:t xml:space="preserve">Default </w:t>
      </w:r>
      <w:r>
        <w:t>hierarchy was made to facilitate CAFR reporting requirements.</w:t>
      </w:r>
    </w:p>
    <w:p w14:paraId="3DF8BDAE" w14:textId="29F5E024" w:rsidR="00F23299" w:rsidRPr="00F23299" w:rsidRDefault="00F23299" w:rsidP="00F23299">
      <w:pPr>
        <w:spacing w:after="120"/>
        <w:ind w:left="3456" w:hanging="2304"/>
        <w:rPr>
          <w:color w:val="000000"/>
          <w:shd w:val="clear" w:color="auto" w:fill="FFFFFF"/>
        </w:rPr>
      </w:pPr>
      <w:r w:rsidRPr="00080BDC">
        <w:t>Summary Level 3</w:t>
      </w:r>
      <w:r w:rsidRPr="00080BDC">
        <w:tab/>
      </w:r>
      <w:r>
        <w:t>Fund</w:t>
      </w:r>
      <w:r w:rsidR="00AD3039">
        <w:t xml:space="preserve">: </w:t>
      </w:r>
      <w:r w:rsidR="001E72D3">
        <w:t>Summary level created to group and organize the hierarchy.</w:t>
      </w:r>
      <w:r w:rsidR="00AD3039">
        <w:rPr>
          <w:color w:val="000000"/>
          <w:shd w:val="clear" w:color="auto" w:fill="FFFFFF"/>
        </w:rPr>
        <w:t xml:space="preserve"> </w:t>
      </w:r>
    </w:p>
    <w:p w14:paraId="0A918FD6" w14:textId="77777777" w:rsidR="00F23299" w:rsidRDefault="00F23299" w:rsidP="00F23299">
      <w:pPr>
        <w:spacing w:after="120"/>
        <w:ind w:left="3447" w:hanging="2295"/>
      </w:pPr>
      <w:r w:rsidRPr="007262CF">
        <w:t>Posting Level</w:t>
      </w:r>
      <w:r w:rsidRPr="007262CF">
        <w:tab/>
      </w:r>
      <w:r>
        <w:t>Subfund</w:t>
      </w:r>
      <w:r w:rsidR="00AD3039">
        <w:t xml:space="preserve">: </w:t>
      </w:r>
      <w:r w:rsidRPr="00080BDC">
        <w:t xml:space="preserve">The </w:t>
      </w:r>
      <w:r>
        <w:t>Idaho L</w:t>
      </w:r>
      <w:r w:rsidRPr="00080BDC">
        <w:t xml:space="preserve">egislature </w:t>
      </w:r>
      <w:r>
        <w:t>may</w:t>
      </w:r>
      <w:r w:rsidRPr="00080BDC">
        <w:t xml:space="preserve"> appropriate </w:t>
      </w:r>
      <w:r>
        <w:t>to agencies at the</w:t>
      </w:r>
      <w:r w:rsidRPr="00080BDC">
        <w:t xml:space="preserve"> </w:t>
      </w:r>
      <w:r>
        <w:t>Subfund</w:t>
      </w:r>
      <w:r w:rsidRPr="00080BDC">
        <w:t xml:space="preserve"> level</w:t>
      </w:r>
      <w:r w:rsidR="00AD3039">
        <w:t xml:space="preserve">. </w:t>
      </w:r>
      <w:r w:rsidRPr="007262CF">
        <w:t xml:space="preserve">Reporting may be done at any level within a hierarchy but posting </w:t>
      </w:r>
      <w:r>
        <w:t>occur</w:t>
      </w:r>
      <w:r w:rsidRPr="007262CF">
        <w:t xml:space="preserve">s at the lowest level of any hierarchy within the </w:t>
      </w:r>
      <w:r w:rsidR="00450F58">
        <w:t>Luma</w:t>
      </w:r>
      <w:r w:rsidRPr="007262CF">
        <w:t xml:space="preserve"> application</w:t>
      </w:r>
      <w:r w:rsidR="00AD3039">
        <w:t xml:space="preserve">. </w:t>
      </w:r>
    </w:p>
    <w:p w14:paraId="0D47AD22" w14:textId="4508E4C8" w:rsidR="00F23299" w:rsidRPr="00F23299" w:rsidRDefault="00F23299" w:rsidP="00F23299">
      <w:pPr>
        <w:spacing w:after="120"/>
        <w:ind w:left="3447" w:hanging="2295"/>
      </w:pPr>
      <w:r>
        <w:tab/>
      </w:r>
      <w:r w:rsidR="0060182A">
        <w:t xml:space="preserve">Exceptions </w:t>
      </w:r>
      <w:r w:rsidR="001A5DBB">
        <w:t xml:space="preserve">to the number of levels </w:t>
      </w:r>
      <w:r w:rsidR="0060182A">
        <w:t>may exist due to agency-specific requirements for bucket funds. These exceptions will be managed according to COA Governance procedures.</w:t>
      </w:r>
    </w:p>
    <w:p w14:paraId="11C9A129" w14:textId="77777777" w:rsidR="005A7855" w:rsidRDefault="00F23299" w:rsidP="0010333B">
      <w:pPr>
        <w:ind w:left="1170"/>
      </w:pPr>
      <w:r w:rsidRPr="00080BDC">
        <w:t>Number of Levels/</w:t>
      </w:r>
    </w:p>
    <w:p w14:paraId="7F385105" w14:textId="77777777" w:rsidR="00F23299" w:rsidRPr="00F23299" w:rsidRDefault="00F23299" w:rsidP="005A7855">
      <w:pPr>
        <w:spacing w:after="120"/>
        <w:ind w:left="3420" w:hanging="2250"/>
      </w:pPr>
      <w:r w:rsidRPr="00080BDC">
        <w:t>Number of Children</w:t>
      </w:r>
      <w:r w:rsidR="005A7855">
        <w:tab/>
      </w:r>
      <w:r>
        <w:t>There are 4 levels to the Fund dimension</w:t>
      </w:r>
      <w:r w:rsidR="00AD3039">
        <w:t xml:space="preserve">. </w:t>
      </w:r>
      <w:r>
        <w:t xml:space="preserve">Summary levels 1 and 2 (Fund Type and Fund Subtype) are dictated by </w:t>
      </w:r>
      <w:r w:rsidR="004D3F4C">
        <w:t>Governmental Accounting Standards Board (</w:t>
      </w:r>
      <w:r>
        <w:t>GASB</w:t>
      </w:r>
      <w:r w:rsidR="004D3F4C">
        <w:t>)</w:t>
      </w:r>
      <w:r>
        <w:t xml:space="preserve"> requirements for CAFR reporting</w:t>
      </w:r>
      <w:r w:rsidR="00AD3039">
        <w:t xml:space="preserve">. </w:t>
      </w:r>
      <w:r>
        <w:t>Summary level 3 (Fund) and the posting level (Subfund) may have an u</w:t>
      </w:r>
      <w:r w:rsidRPr="00080BDC">
        <w:t xml:space="preserve">nlimited number of “children” </w:t>
      </w:r>
      <w:r>
        <w:t>based on the needs of the State, as determined by SCO/DFM in conjunction with Idaho state statute.</w:t>
      </w:r>
    </w:p>
    <w:p w14:paraId="2E8936B0" w14:textId="77777777" w:rsidR="00142AAF" w:rsidRDefault="00F23299" w:rsidP="00F23299">
      <w:pPr>
        <w:spacing w:after="120"/>
        <w:ind w:left="3456" w:hanging="2301"/>
      </w:pPr>
      <w:r w:rsidRPr="00284FD7">
        <w:t>Field Length Min/Max</w:t>
      </w:r>
      <w:r w:rsidRPr="00284FD7">
        <w:tab/>
      </w:r>
      <w:proofErr w:type="gramStart"/>
      <w:r>
        <w:t>The</w:t>
      </w:r>
      <w:proofErr w:type="gramEnd"/>
      <w:r>
        <w:t xml:space="preserve"> COA Redesign Workgroup </w:t>
      </w:r>
      <w:r w:rsidR="00142AAF">
        <w:t xml:space="preserve">initially </w:t>
      </w:r>
      <w:r>
        <w:t>determined there was no compelling reason to make sweeping changes to the fund numbering system in the legacy STARS system</w:t>
      </w:r>
      <w:r w:rsidR="00AD3039">
        <w:t>.</w:t>
      </w:r>
      <w:r w:rsidR="00142AAF">
        <w:t xml:space="preserve"> </w:t>
      </w:r>
    </w:p>
    <w:p w14:paraId="66FBF2B1" w14:textId="7EC23D33" w:rsidR="00F23299" w:rsidRPr="00F23299" w:rsidRDefault="00F23299" w:rsidP="00C8758A">
      <w:pPr>
        <w:spacing w:after="120"/>
        <w:ind w:left="3456"/>
      </w:pPr>
      <w:r>
        <w:t xml:space="preserve">The decision to drop </w:t>
      </w:r>
      <w:r w:rsidRPr="00284FD7">
        <w:t xml:space="preserve">the leading </w:t>
      </w:r>
      <w:r>
        <w:t>0 (</w:t>
      </w:r>
      <w:r w:rsidRPr="00284FD7">
        <w:t>zero</w:t>
      </w:r>
      <w:r>
        <w:t>)</w:t>
      </w:r>
      <w:r w:rsidRPr="00284FD7">
        <w:t xml:space="preserve"> on the fund number </w:t>
      </w:r>
      <w:r>
        <w:t>was prompted by</w:t>
      </w:r>
      <w:r w:rsidR="00CA1899">
        <w:t xml:space="preserve"> the</w:t>
      </w:r>
      <w:r w:rsidR="00502591">
        <w:t xml:space="preserve"> Infor S</w:t>
      </w:r>
      <w:r>
        <w:t xml:space="preserve">preadsheet </w:t>
      </w:r>
      <w:r w:rsidR="00502591">
        <w:t>D</w:t>
      </w:r>
      <w:r w:rsidR="00CA1899">
        <w:t>e</w:t>
      </w:r>
      <w:r>
        <w:t>signer</w:t>
      </w:r>
      <w:r w:rsidR="00CA1899">
        <w:t xml:space="preserve"> </w:t>
      </w:r>
      <w:r w:rsidR="00502591">
        <w:t xml:space="preserve">(ISD) </w:t>
      </w:r>
      <w:r w:rsidR="00CA1899">
        <w:t>functionality in Luma</w:t>
      </w:r>
      <w:r>
        <w:t xml:space="preserve">, an Excel </w:t>
      </w:r>
      <w:r w:rsidR="00CA1899">
        <w:t xml:space="preserve">commercial </w:t>
      </w:r>
      <w:r>
        <w:t>add-</w:t>
      </w:r>
      <w:r w:rsidR="00FD359C">
        <w:t>on</w:t>
      </w:r>
      <w:r>
        <w:t xml:space="preserve"> used to upload and download large datasets to and from </w:t>
      </w:r>
      <w:r w:rsidR="00E25BC1">
        <w:t>Luma</w:t>
      </w:r>
      <w:r w:rsidR="00AD3039">
        <w:t xml:space="preserve">. </w:t>
      </w:r>
      <w:r>
        <w:t>Excel drops leading zeros unless the cell is formatted as text</w:t>
      </w:r>
      <w:r w:rsidR="00AD3039">
        <w:t xml:space="preserve">. </w:t>
      </w:r>
      <w:r>
        <w:t>Fund and Subfund (legacy STARS Fund and Fund Detail) were combined at the posting level to create unique posting codes for each Subfund</w:t>
      </w:r>
      <w:r w:rsidR="00AD3039">
        <w:t xml:space="preserve">. </w:t>
      </w:r>
      <w:r>
        <w:t>Since each dimension only has one keying field, both legacy STARS Fund and Fund Detail are required in one entry.</w:t>
      </w:r>
    </w:p>
    <w:p w14:paraId="73F385F2" w14:textId="77777777" w:rsidR="00FC7F01" w:rsidRDefault="00FC7F01" w:rsidP="00270473">
      <w:pPr>
        <w:pStyle w:val="Heading2"/>
      </w:pPr>
      <w:bookmarkStart w:id="66" w:name="_Toc68532160"/>
      <w:r>
        <w:t>Account</w:t>
      </w:r>
      <w:bookmarkEnd w:id="66"/>
    </w:p>
    <w:p w14:paraId="60669125" w14:textId="77777777" w:rsidR="004B599B" w:rsidRPr="004B599B" w:rsidRDefault="004B599B" w:rsidP="004B599B">
      <w:pPr>
        <w:spacing w:after="120"/>
        <w:rPr>
          <w:u w:val="single"/>
        </w:rPr>
      </w:pPr>
      <w:r>
        <w:rPr>
          <w:u w:val="single"/>
        </w:rPr>
        <w:t>Dimension Purpose and Usage</w:t>
      </w:r>
    </w:p>
    <w:p w14:paraId="59DB1893" w14:textId="77777777" w:rsidR="004B599B" w:rsidRPr="004B599B" w:rsidRDefault="004B599B" w:rsidP="004B599B">
      <w:pPr>
        <w:spacing w:after="120"/>
        <w:ind w:left="3456" w:hanging="3456"/>
        <w:rPr>
          <w:i/>
          <w:color w:val="FF0000"/>
        </w:rPr>
      </w:pPr>
      <w:r>
        <w:t>Purpose Definition</w:t>
      </w:r>
      <w:r>
        <w:tab/>
      </w:r>
      <w:r w:rsidRPr="00444962">
        <w:rPr>
          <w:i/>
        </w:rPr>
        <w:t xml:space="preserve">Used to capture the category of all transactions that affect the balance sheet, </w:t>
      </w:r>
      <w:r>
        <w:rPr>
          <w:i/>
        </w:rPr>
        <w:t>statement of revenues, expenditures, and changes in fund balance</w:t>
      </w:r>
      <w:r w:rsidR="00AE096F">
        <w:rPr>
          <w:i/>
        </w:rPr>
        <w:t>,</w:t>
      </w:r>
      <w:r w:rsidRPr="00444962">
        <w:rPr>
          <w:i/>
        </w:rPr>
        <w:t xml:space="preserve"> and other financial statements.</w:t>
      </w:r>
    </w:p>
    <w:p w14:paraId="454A9AF7" w14:textId="442D9FC3" w:rsidR="004B599B" w:rsidRDefault="004B599B" w:rsidP="004B599B">
      <w:pPr>
        <w:spacing w:after="120"/>
        <w:ind w:left="3456" w:hanging="3456"/>
      </w:pPr>
      <w:r>
        <w:t>Purpose Rationale</w:t>
      </w:r>
      <w:r>
        <w:tab/>
      </w:r>
      <w:r w:rsidR="00396078">
        <w:t>C</w:t>
      </w:r>
      <w:r>
        <w:t>omprehensive</w:t>
      </w:r>
      <w:r w:rsidR="00396078">
        <w:t>, uniform</w:t>
      </w:r>
      <w:r>
        <w:t xml:space="preserve"> system of accounts</w:t>
      </w:r>
      <w:r w:rsidR="00396078">
        <w:t xml:space="preserve"> that incorporates industry-standard guidelines for consistent reporting. </w:t>
      </w:r>
    </w:p>
    <w:p w14:paraId="5A27CE38" w14:textId="77777777" w:rsidR="004B599B" w:rsidRPr="00145CC7" w:rsidRDefault="004B599B" w:rsidP="004B599B">
      <w:pPr>
        <w:spacing w:after="120"/>
        <w:rPr>
          <w:u w:val="single"/>
        </w:rPr>
      </w:pPr>
      <w:r w:rsidRPr="00145CC7">
        <w:rPr>
          <w:u w:val="single"/>
        </w:rPr>
        <w:t xml:space="preserve">Dimension </w:t>
      </w:r>
      <w:r>
        <w:rPr>
          <w:u w:val="single"/>
        </w:rPr>
        <w:t>Format</w:t>
      </w:r>
    </w:p>
    <w:p w14:paraId="441F280A" w14:textId="77777777" w:rsidR="004B599B" w:rsidRPr="00036426" w:rsidRDefault="004B599B" w:rsidP="004B599B">
      <w:pPr>
        <w:spacing w:after="120"/>
      </w:pPr>
      <w:r w:rsidRPr="00036426">
        <w:t>Format Definitions</w:t>
      </w:r>
    </w:p>
    <w:p w14:paraId="7A4FDE79" w14:textId="72CD6DC7" w:rsidR="004B599B" w:rsidRPr="00706D14" w:rsidRDefault="004B599B" w:rsidP="00EF2F86">
      <w:pPr>
        <w:spacing w:after="120"/>
        <w:ind w:left="3447" w:hanging="2295"/>
        <w:rPr>
          <w:color w:val="FF0000"/>
        </w:rPr>
      </w:pPr>
      <w:r w:rsidRPr="00036426">
        <w:lastRenderedPageBreak/>
        <w:t>Keying Order</w:t>
      </w:r>
      <w:r w:rsidRPr="00706D14">
        <w:rPr>
          <w:color w:val="FF0000"/>
        </w:rPr>
        <w:tab/>
      </w:r>
      <w:r w:rsidR="004C5B66">
        <w:t>Luma</w:t>
      </w:r>
      <w:r w:rsidR="004C5B66" w:rsidRPr="008A0F97">
        <w:t xml:space="preserve"> allows for downstream pairing and defaulting when keying transactions</w:t>
      </w:r>
      <w:r w:rsidR="004C5B66">
        <w:t xml:space="preserve">. </w:t>
      </w:r>
      <w:r w:rsidR="004C5B66" w:rsidRPr="008A0F97">
        <w:t xml:space="preserve">By placing </w:t>
      </w:r>
      <w:r w:rsidR="004C5B66">
        <w:t>the Account dimension</w:t>
      </w:r>
      <w:r w:rsidR="004C5B66" w:rsidRPr="008A0F97">
        <w:t xml:space="preserve"> </w:t>
      </w:r>
      <w:r w:rsidR="004C5B66">
        <w:t>seventh</w:t>
      </w:r>
      <w:r w:rsidR="004C5B66" w:rsidRPr="008A0F97">
        <w:t xml:space="preserve"> in the keying order, </w:t>
      </w:r>
      <w:r w:rsidR="004C5B66">
        <w:t>agencies will have the ability to pair or default Account codes</w:t>
      </w:r>
      <w:r w:rsidR="00547884">
        <w:t xml:space="preserve"> with upstream dimension values</w:t>
      </w:r>
      <w:r w:rsidR="004C5B66">
        <w:t xml:space="preserve">. </w:t>
      </w:r>
      <w:r w:rsidR="004C5B66" w:rsidRPr="008A0F97">
        <w:t xml:space="preserve">This </w:t>
      </w:r>
      <w:r w:rsidR="004C5B66">
        <w:t xml:space="preserve">will </w:t>
      </w:r>
      <w:r w:rsidR="004C5B66" w:rsidRPr="008A0F97">
        <w:t>reduce or eliminate unnecessary keying</w:t>
      </w:r>
      <w:r w:rsidR="004C5B66">
        <w:t xml:space="preserve">, </w:t>
      </w:r>
      <w:r w:rsidR="004C5B66" w:rsidRPr="008A0F97">
        <w:t>increase efficiency</w:t>
      </w:r>
      <w:r w:rsidR="004C5B66">
        <w:t>,</w:t>
      </w:r>
      <w:r w:rsidR="004C5B66" w:rsidRPr="008A0F97">
        <w:t xml:space="preserve"> </w:t>
      </w:r>
      <w:r w:rsidR="004C5B66">
        <w:t xml:space="preserve">and reduce data entry </w:t>
      </w:r>
      <w:r w:rsidR="004C5B66" w:rsidRPr="008A0F97">
        <w:t>errors</w:t>
      </w:r>
      <w:r w:rsidR="004C5B66">
        <w:t>.</w:t>
      </w:r>
    </w:p>
    <w:p w14:paraId="6516B5CD" w14:textId="6A77A641" w:rsidR="004B599B" w:rsidRPr="00E71919" w:rsidRDefault="004B599B" w:rsidP="004B599B">
      <w:pPr>
        <w:spacing w:after="120"/>
        <w:ind w:left="3447" w:hanging="2295"/>
      </w:pPr>
      <w:r w:rsidRPr="00E71919">
        <w:t xml:space="preserve">Summary Level </w:t>
      </w:r>
      <w:r w:rsidR="00DE301F">
        <w:t>1</w:t>
      </w:r>
      <w:r w:rsidRPr="00E71919">
        <w:t xml:space="preserve">  </w:t>
      </w:r>
      <w:r w:rsidRPr="00E71919">
        <w:tab/>
      </w:r>
      <w:r>
        <w:rPr>
          <w:b/>
        </w:rPr>
        <w:t>Account Type</w:t>
      </w:r>
      <w:r w:rsidR="00AD3039">
        <w:t>.</w:t>
      </w:r>
      <w:r w:rsidR="00DE301F">
        <w:rPr>
          <w:rStyle w:val="FootnoteReference"/>
        </w:rPr>
        <w:footnoteReference w:id="4"/>
      </w:r>
      <w:r w:rsidR="00AD3039">
        <w:t xml:space="preserve"> </w:t>
      </w:r>
      <w:r>
        <w:t>Assets, Liabilities, Fund Balance, Revenues, Expenditures</w:t>
      </w:r>
      <w:r w:rsidR="00C132CD">
        <w:rPr>
          <w:rStyle w:val="FootnoteReference"/>
        </w:rPr>
        <w:footnoteReference w:id="5"/>
      </w:r>
      <w:r>
        <w:t>,</w:t>
      </w:r>
      <w:r w:rsidR="00DB3A79">
        <w:t xml:space="preserve"> System Accounts (Infor Sys Acct), </w:t>
      </w:r>
      <w:r w:rsidR="009C4535">
        <w:t xml:space="preserve">Deferred Inflows (Def Inflows), </w:t>
      </w:r>
      <w:r w:rsidR="00DB3A79">
        <w:t xml:space="preserve">Deferred Outflows (Def Outflow), </w:t>
      </w:r>
      <w:r>
        <w:t>Statistics</w:t>
      </w:r>
      <w:r w:rsidR="00692B29">
        <w:t>.</w:t>
      </w:r>
      <w:r w:rsidR="00547884">
        <w:t xml:space="preserve">  Centrally managed.</w:t>
      </w:r>
    </w:p>
    <w:p w14:paraId="33495E67" w14:textId="1EB3E138" w:rsidR="004B599B" w:rsidRDefault="004B599B" w:rsidP="004B599B">
      <w:pPr>
        <w:spacing w:after="120"/>
        <w:ind w:left="3447" w:hanging="2295"/>
      </w:pPr>
      <w:r w:rsidRPr="00E71919">
        <w:t>Summary Level 2</w:t>
      </w:r>
      <w:r w:rsidRPr="00E71919">
        <w:tab/>
      </w:r>
      <w:r>
        <w:rPr>
          <w:b/>
        </w:rPr>
        <w:t>Account Category</w:t>
      </w:r>
      <w:r w:rsidR="00EA36DD" w:rsidRPr="00EA36DD">
        <w:t>.</w:t>
      </w:r>
      <w:r w:rsidR="00AD3039">
        <w:rPr>
          <w:b/>
        </w:rPr>
        <w:t xml:space="preserve"> </w:t>
      </w:r>
      <w:r>
        <w:t>Further breakdown of Account Types (for example assets: current, non-current; liabilities</w:t>
      </w:r>
      <w:r w:rsidR="00AD3039">
        <w:t xml:space="preserve">: </w:t>
      </w:r>
      <w:r>
        <w:t>long-term, other; expenditures</w:t>
      </w:r>
      <w:r w:rsidR="00AD3039">
        <w:t xml:space="preserve">: </w:t>
      </w:r>
      <w:r>
        <w:t>personnel</w:t>
      </w:r>
      <w:r w:rsidR="004B16DA">
        <w:t xml:space="preserve"> costs</w:t>
      </w:r>
      <w:r>
        <w:t>, operating</w:t>
      </w:r>
      <w:r w:rsidR="004B16DA">
        <w:t xml:space="preserve"> expenditures</w:t>
      </w:r>
      <w:r>
        <w:t>, capital</w:t>
      </w:r>
      <w:r w:rsidR="004B16DA">
        <w:t xml:space="preserve"> outlay, and trustee and benefit payments</w:t>
      </w:r>
      <w:r>
        <w:t>)</w:t>
      </w:r>
      <w:r w:rsidR="00692B29">
        <w:t>.</w:t>
      </w:r>
      <w:r w:rsidR="00547884">
        <w:t xml:space="preserve"> Centrally managed.</w:t>
      </w:r>
    </w:p>
    <w:p w14:paraId="20B76299" w14:textId="5B56056D" w:rsidR="004B599B" w:rsidRDefault="004B599B" w:rsidP="004B599B">
      <w:pPr>
        <w:spacing w:after="120"/>
        <w:ind w:left="3447" w:hanging="2295"/>
      </w:pPr>
      <w:r>
        <w:t>Summary Level 3</w:t>
      </w:r>
      <w:r>
        <w:tab/>
      </w:r>
      <w:r>
        <w:rPr>
          <w:b/>
        </w:rPr>
        <w:t>Summary Account</w:t>
      </w:r>
      <w:r w:rsidR="00EA36DD" w:rsidRPr="00EA36DD">
        <w:t>.</w:t>
      </w:r>
      <w:r w:rsidR="00AD3039">
        <w:rPr>
          <w:b/>
        </w:rPr>
        <w:t xml:space="preserve"> </w:t>
      </w:r>
      <w:r>
        <w:t>Further breakdown of Account Category (for example personnel</w:t>
      </w:r>
      <w:r w:rsidR="00AD3039">
        <w:t xml:space="preserve">: </w:t>
      </w:r>
      <w:r>
        <w:t>salary, benefits; operating: communications, professional services)</w:t>
      </w:r>
      <w:r w:rsidR="00692B29">
        <w:t>.</w:t>
      </w:r>
      <w:r w:rsidR="00547884">
        <w:t xml:space="preserve"> Centrally managed.</w:t>
      </w:r>
    </w:p>
    <w:p w14:paraId="364E3E81" w14:textId="3C572116" w:rsidR="004B599B" w:rsidRDefault="004B599B" w:rsidP="004B599B">
      <w:pPr>
        <w:spacing w:after="120"/>
        <w:ind w:left="3447" w:hanging="2295"/>
      </w:pPr>
      <w:r>
        <w:t>Summary Level 4</w:t>
      </w:r>
      <w:r>
        <w:tab/>
      </w:r>
      <w:r>
        <w:rPr>
          <w:b/>
        </w:rPr>
        <w:t>Account</w:t>
      </w:r>
      <w:r w:rsidR="00EA36DD" w:rsidRPr="00EA36DD">
        <w:t>.</w:t>
      </w:r>
      <w:r w:rsidR="00AD3039">
        <w:rPr>
          <w:b/>
        </w:rPr>
        <w:t xml:space="preserve"> </w:t>
      </w:r>
      <w:r>
        <w:t>Additional detail for Summary Accounts (for example salary: employees, student, shift differential)</w:t>
      </w:r>
      <w:r w:rsidR="00692B29">
        <w:t>.</w:t>
      </w:r>
      <w:r w:rsidR="00547884">
        <w:t xml:space="preserve"> Centrally managed.</w:t>
      </w:r>
    </w:p>
    <w:p w14:paraId="72C0BA2B" w14:textId="25DB733F" w:rsidR="004B599B" w:rsidRPr="004B599B" w:rsidRDefault="004B599B" w:rsidP="004B599B">
      <w:pPr>
        <w:spacing w:after="120"/>
        <w:ind w:left="3447" w:hanging="2295"/>
      </w:pPr>
      <w:r>
        <w:t>Posting Level</w:t>
      </w:r>
      <w:r>
        <w:tab/>
      </w:r>
      <w:r>
        <w:rPr>
          <w:b/>
        </w:rPr>
        <w:t>Posting Account</w:t>
      </w:r>
      <w:r w:rsidR="00EA36DD" w:rsidRPr="00EA36DD">
        <w:t>.</w:t>
      </w:r>
      <w:r w:rsidR="00AD3039">
        <w:rPr>
          <w:b/>
        </w:rPr>
        <w:t xml:space="preserve"> </w:t>
      </w:r>
      <w:r>
        <w:t xml:space="preserve">For many accounts the </w:t>
      </w:r>
      <w:r w:rsidR="00720DD5">
        <w:t xml:space="preserve">Account </w:t>
      </w:r>
      <w:r>
        <w:t>level</w:t>
      </w:r>
      <w:r w:rsidR="00740324">
        <w:t xml:space="preserve"> (Summary Level 4)</w:t>
      </w:r>
      <w:r>
        <w:t xml:space="preserve"> and the</w:t>
      </w:r>
      <w:r w:rsidR="00720DD5">
        <w:t xml:space="preserve"> Posting</w:t>
      </w:r>
      <w:r>
        <w:t xml:space="preserve"> Account level are the same</w:t>
      </w:r>
      <w:r w:rsidR="00AD3039">
        <w:t xml:space="preserve">. </w:t>
      </w:r>
      <w:r>
        <w:t xml:space="preserve">Posting </w:t>
      </w:r>
      <w:r w:rsidR="00720DD5">
        <w:t>A</w:t>
      </w:r>
      <w:r>
        <w:t>ccount may be a further breakdown of an Account, where additional detail is required.</w:t>
      </w:r>
      <w:r w:rsidR="00547884">
        <w:t xml:space="preserve"> Centrally managed.</w:t>
      </w:r>
    </w:p>
    <w:p w14:paraId="66B3059F" w14:textId="77777777" w:rsidR="004B599B" w:rsidRPr="00E71919" w:rsidRDefault="004B599B" w:rsidP="004B599B">
      <w:pPr>
        <w:spacing w:after="120"/>
        <w:ind w:left="3447" w:hanging="2295"/>
      </w:pPr>
      <w:r w:rsidRPr="00E71919">
        <w:t>Number of Levels</w:t>
      </w:r>
      <w:r w:rsidRPr="00E71919">
        <w:tab/>
      </w:r>
      <w:r>
        <w:t>5 levels</w:t>
      </w:r>
      <w:r w:rsidR="00AD3039">
        <w:t xml:space="preserve">. </w:t>
      </w:r>
      <w:r>
        <w:t xml:space="preserve">Determined by SCO to meet CAFR and other </w:t>
      </w:r>
      <w:r w:rsidR="00462271">
        <w:t xml:space="preserve">State </w:t>
      </w:r>
      <w:r>
        <w:t xml:space="preserve">reporting requirements, in conjunction with the reporting requirements of </w:t>
      </w:r>
      <w:r w:rsidR="00462271">
        <w:t xml:space="preserve">State </w:t>
      </w:r>
      <w:r>
        <w:t>agencies.</w:t>
      </w:r>
    </w:p>
    <w:p w14:paraId="7CEB844B" w14:textId="77777777" w:rsidR="004B599B" w:rsidRDefault="004B599B" w:rsidP="004B599B">
      <w:pPr>
        <w:spacing w:after="120"/>
        <w:ind w:left="3447" w:hanging="2295"/>
      </w:pPr>
      <w:r w:rsidRPr="00E71919">
        <w:t>Number of Children</w:t>
      </w:r>
      <w:r w:rsidRPr="00E71919">
        <w:tab/>
      </w:r>
      <w:r w:rsidR="005737A3">
        <w:t>As needed for standardization</w:t>
      </w:r>
      <w:r w:rsidR="00AD3039">
        <w:t xml:space="preserve">. </w:t>
      </w:r>
      <w:r w:rsidR="005737A3">
        <w:t>To be d</w:t>
      </w:r>
      <w:r>
        <w:t xml:space="preserve">etermined by SCO to meet CAFR and other </w:t>
      </w:r>
      <w:r w:rsidR="00462271">
        <w:t xml:space="preserve">State </w:t>
      </w:r>
      <w:r>
        <w:t xml:space="preserve">reporting requirements, in conjunction with the reporting requirements of </w:t>
      </w:r>
      <w:r w:rsidR="00462271">
        <w:t xml:space="preserve">State </w:t>
      </w:r>
      <w:r>
        <w:t>agencies.</w:t>
      </w:r>
    </w:p>
    <w:p w14:paraId="723F21C9" w14:textId="77777777" w:rsidR="004B599B" w:rsidRPr="00AD13B1" w:rsidRDefault="004B599B" w:rsidP="005737A3">
      <w:pPr>
        <w:spacing w:after="120"/>
        <w:ind w:left="3447" w:hanging="2295"/>
      </w:pPr>
      <w:r w:rsidRPr="004B599B">
        <w:t>Field Length Min</w:t>
      </w:r>
      <w:r w:rsidR="001B758D">
        <w:t>/</w:t>
      </w:r>
      <w:r w:rsidRPr="004B599B">
        <w:t>Max</w:t>
      </w:r>
      <w:r w:rsidR="005737A3">
        <w:t xml:space="preserve">     </w:t>
      </w:r>
      <w:r w:rsidR="008475BB">
        <w:t xml:space="preserve">  </w:t>
      </w:r>
      <w:r>
        <w:t xml:space="preserve">Account type, account category and summary account (ALPHANUMERIC 15), account (INTEGER, 4), posting account (INTEGER, 6), all determined by SCO. </w:t>
      </w:r>
      <w:r w:rsidRPr="003C5721">
        <w:tab/>
        <w:t xml:space="preserve"> </w:t>
      </w:r>
    </w:p>
    <w:p w14:paraId="7B0015A0" w14:textId="77777777" w:rsidR="004B599B" w:rsidRPr="00036426" w:rsidRDefault="004B599B" w:rsidP="004B599B">
      <w:pPr>
        <w:spacing w:after="120"/>
      </w:pPr>
      <w:r w:rsidRPr="00036426">
        <w:t xml:space="preserve">Format </w:t>
      </w:r>
      <w:r>
        <w:t>Rationale</w:t>
      </w:r>
    </w:p>
    <w:p w14:paraId="4D4A93D6" w14:textId="77777777" w:rsidR="004B599B" w:rsidRPr="00706D14" w:rsidRDefault="004B599B" w:rsidP="004B599B">
      <w:pPr>
        <w:spacing w:after="120"/>
        <w:ind w:left="3447" w:hanging="2295"/>
        <w:rPr>
          <w:color w:val="FF0000"/>
        </w:rPr>
      </w:pPr>
      <w:r w:rsidRPr="00036426">
        <w:t>Keying Order</w:t>
      </w:r>
      <w:r w:rsidRPr="00706D14">
        <w:rPr>
          <w:color w:val="FF0000"/>
        </w:rPr>
        <w:tab/>
      </w:r>
      <w:r>
        <w:t>Required field that will need to be keyed in most instances</w:t>
      </w:r>
      <w:r w:rsidR="00AD3039">
        <w:t xml:space="preserve">. </w:t>
      </w:r>
      <w:r>
        <w:t xml:space="preserve">Placed after other dimensions that may </w:t>
      </w:r>
      <w:r w:rsidR="00427C30">
        <w:t>pair with the Account dimension to limit available posting selections</w:t>
      </w:r>
      <w:r w:rsidR="00B178E9">
        <w:t>.  For example, a project may be paired with the Account dimension to allow only personnel or operating expenditure types.</w:t>
      </w:r>
    </w:p>
    <w:p w14:paraId="41164432" w14:textId="77777777" w:rsidR="004B599B" w:rsidRPr="00C92FFC" w:rsidRDefault="004B599B" w:rsidP="004B599B">
      <w:pPr>
        <w:spacing w:after="120"/>
        <w:ind w:left="3447" w:hanging="2295"/>
      </w:pPr>
      <w:r w:rsidRPr="00E71919">
        <w:lastRenderedPageBreak/>
        <w:t xml:space="preserve">Summary Level 1  </w:t>
      </w:r>
      <w:r w:rsidRPr="00E71919">
        <w:tab/>
      </w:r>
      <w:r w:rsidRPr="00C92FFC">
        <w:t>Account Type</w:t>
      </w:r>
      <w:r w:rsidR="00AD3039" w:rsidRPr="00C92FFC">
        <w:t xml:space="preserve">. </w:t>
      </w:r>
      <w:r w:rsidRPr="00C92FFC">
        <w:t>Highest level of account groupings to allow more detailed breakout of account types to be organized into a logical order.</w:t>
      </w:r>
    </w:p>
    <w:p w14:paraId="0E4308A2" w14:textId="77777777" w:rsidR="004B599B" w:rsidRPr="00C92FFC" w:rsidRDefault="004B599B" w:rsidP="004B599B">
      <w:pPr>
        <w:spacing w:after="120"/>
        <w:ind w:left="3447" w:hanging="2295"/>
      </w:pPr>
      <w:r w:rsidRPr="00C92FFC">
        <w:t>Summary Level 2</w:t>
      </w:r>
      <w:r w:rsidRPr="00C92FFC">
        <w:tab/>
        <w:t>Account Category</w:t>
      </w:r>
      <w:r w:rsidR="00EA36DD" w:rsidRPr="00C92FFC">
        <w:t>.</w:t>
      </w:r>
      <w:r w:rsidR="00AD3039" w:rsidRPr="00C92FFC">
        <w:t xml:space="preserve"> </w:t>
      </w:r>
      <w:r w:rsidRPr="00C92FFC">
        <w:t>Critical grouping level necessary for financial reporting and appropriation spending controls.</w:t>
      </w:r>
    </w:p>
    <w:p w14:paraId="3CAEF9DB" w14:textId="77777777" w:rsidR="004B599B" w:rsidRPr="00C92FFC" w:rsidRDefault="004B599B" w:rsidP="004B599B">
      <w:pPr>
        <w:spacing w:after="120"/>
        <w:ind w:left="3447" w:hanging="2295"/>
      </w:pPr>
      <w:r w:rsidRPr="00C92FFC">
        <w:t>Summary Level 3</w:t>
      </w:r>
      <w:r w:rsidRPr="00C92FFC">
        <w:tab/>
        <w:t>Summary Account</w:t>
      </w:r>
      <w:r w:rsidR="00EA36DD" w:rsidRPr="00C92FFC">
        <w:t>.</w:t>
      </w:r>
      <w:r w:rsidR="00AD3039" w:rsidRPr="00C92FFC">
        <w:t xml:space="preserve"> </w:t>
      </w:r>
      <w:r w:rsidRPr="00C92FFC">
        <w:t>Additional detail for tracking spending and to add transparency in cost types</w:t>
      </w:r>
      <w:r w:rsidR="00AD3039" w:rsidRPr="00C92FFC">
        <w:t xml:space="preserve">. </w:t>
      </w:r>
      <w:r w:rsidRPr="00C92FFC">
        <w:t>Another critical level of account grouping for financial reporting.</w:t>
      </w:r>
    </w:p>
    <w:p w14:paraId="1FB41995" w14:textId="78C72D0C" w:rsidR="004B599B" w:rsidRPr="00C92FFC" w:rsidRDefault="004B599B" w:rsidP="004B599B">
      <w:pPr>
        <w:spacing w:after="120"/>
        <w:ind w:left="3447" w:hanging="2295"/>
      </w:pPr>
      <w:r w:rsidRPr="00C92FFC">
        <w:t>Summary Level 4</w:t>
      </w:r>
      <w:r w:rsidRPr="00C92FFC">
        <w:tab/>
        <w:t>Account</w:t>
      </w:r>
      <w:r w:rsidR="00EA36DD" w:rsidRPr="00C92FFC">
        <w:t>.</w:t>
      </w:r>
      <w:r w:rsidR="00AD3039" w:rsidRPr="00C92FFC">
        <w:t xml:space="preserve"> </w:t>
      </w:r>
      <w:r w:rsidRPr="00C92FFC">
        <w:t xml:space="preserve">Typical account breakdown used in tracking </w:t>
      </w:r>
      <w:r w:rsidR="0062611A">
        <w:t>expenditures</w:t>
      </w:r>
      <w:r w:rsidRPr="00C92FFC">
        <w:t xml:space="preserve">, revenues, assets, and liabilities by more specific name to provide end users with adequate descriptions to pick </w:t>
      </w:r>
      <w:r w:rsidR="00462271">
        <w:t xml:space="preserve">the </w:t>
      </w:r>
      <w:r w:rsidRPr="00C92FFC">
        <w:t>correct account so that proper financial reporting occurs.</w:t>
      </w:r>
    </w:p>
    <w:p w14:paraId="5B46267E" w14:textId="21438632" w:rsidR="004B599B" w:rsidRDefault="004B599B" w:rsidP="004B599B">
      <w:pPr>
        <w:spacing w:after="120"/>
        <w:ind w:left="3447" w:hanging="2295"/>
      </w:pPr>
      <w:r w:rsidRPr="00C92FFC">
        <w:t>Posting Level</w:t>
      </w:r>
      <w:r w:rsidRPr="00C92FFC">
        <w:tab/>
        <w:t>Posting Account</w:t>
      </w:r>
      <w:r w:rsidR="00EA36DD" w:rsidRPr="00C92FFC">
        <w:t>.</w:t>
      </w:r>
      <w:r w:rsidR="00AD3039" w:rsidRPr="00C92FFC">
        <w:t xml:space="preserve"> </w:t>
      </w:r>
      <w:r w:rsidRPr="00C92FFC">
        <w:t>In many</w:t>
      </w:r>
      <w:r>
        <w:t xml:space="preserve"> cases, posting level and Summary Level 4 are the same</w:t>
      </w:r>
      <w:r w:rsidR="00AD3039">
        <w:t xml:space="preserve">. </w:t>
      </w:r>
      <w:r>
        <w:t xml:space="preserve">In cases where agencies require more detail than provided by summary level 4, multiple </w:t>
      </w:r>
      <w:r w:rsidR="0062611A">
        <w:t>p</w:t>
      </w:r>
      <w:r>
        <w:t xml:space="preserve">osting </w:t>
      </w:r>
      <w:r w:rsidR="0062611A">
        <w:t>l</w:t>
      </w:r>
      <w:r>
        <w:t>evel posting accounts will roll up to an account</w:t>
      </w:r>
      <w:r w:rsidR="00AD3039">
        <w:t xml:space="preserve">. </w:t>
      </w:r>
      <w:r>
        <w:t xml:space="preserve">Agencies that require this additional detail for external reporting and tracking purposes can employ the </w:t>
      </w:r>
      <w:r w:rsidR="00462271">
        <w:t xml:space="preserve">COA </w:t>
      </w:r>
      <w:r>
        <w:t>data governance process to request additional posting accounts for a given account.</w:t>
      </w:r>
    </w:p>
    <w:p w14:paraId="2D3FA6E9" w14:textId="77777777" w:rsidR="006B42EE" w:rsidRDefault="004B599B" w:rsidP="0010333B">
      <w:pPr>
        <w:ind w:left="3447" w:hanging="2295"/>
      </w:pPr>
      <w:r w:rsidRPr="00E71919">
        <w:t>Number of Levels</w:t>
      </w:r>
      <w:r>
        <w:t>/</w:t>
      </w:r>
    </w:p>
    <w:p w14:paraId="7DF30B23" w14:textId="77777777" w:rsidR="004B599B" w:rsidRDefault="004B599B" w:rsidP="006B42EE">
      <w:pPr>
        <w:spacing w:after="120"/>
        <w:ind w:left="3447" w:hanging="2295"/>
      </w:pPr>
      <w:r w:rsidRPr="00E71919">
        <w:t>Number of Children</w:t>
      </w:r>
      <w:r w:rsidRPr="00E71919">
        <w:tab/>
      </w:r>
      <w:r>
        <w:t>Determined by SCO</w:t>
      </w:r>
      <w:r w:rsidR="00AD3039">
        <w:t>. F</w:t>
      </w:r>
      <w:r>
        <w:t>ive levels are adequate to provide the various levels of detail needed for effective financial reporting while providing agencies with the level of detail necessary to meet their agency-specific reporting requirements</w:t>
      </w:r>
      <w:r w:rsidR="00AD3039">
        <w:t xml:space="preserve">. </w:t>
      </w:r>
      <w:r>
        <w:t xml:space="preserve">Accounts needed in this dimension are driven by financial </w:t>
      </w:r>
      <w:r w:rsidR="00B178E9">
        <w:t xml:space="preserve">and external/third-party </w:t>
      </w:r>
      <w:r>
        <w:t>reporting requirements.</w:t>
      </w:r>
    </w:p>
    <w:p w14:paraId="6FFF3D64" w14:textId="33E4DA99" w:rsidR="004B599B" w:rsidRPr="006B42EE" w:rsidRDefault="004B599B" w:rsidP="006B42EE">
      <w:pPr>
        <w:spacing w:after="120"/>
        <w:ind w:left="3420" w:hanging="2250"/>
      </w:pPr>
      <w:r w:rsidRPr="004B599B">
        <w:t>Field Length Min/Max</w:t>
      </w:r>
      <w:r w:rsidR="00A47A00">
        <w:rPr>
          <w:rStyle w:val="FootnoteReference"/>
        </w:rPr>
        <w:footnoteReference w:id="6"/>
      </w:r>
      <w:r w:rsidR="006B42EE">
        <w:tab/>
      </w:r>
      <w:r>
        <w:t>Naming and numbering convention determined by SCO</w:t>
      </w:r>
      <w:r w:rsidR="00AD3039">
        <w:t xml:space="preserve">. </w:t>
      </w:r>
      <w:r>
        <w:t>Posting level of 6 characters was deemed most efficient to allow the State enough positions to number all necessary posting accounts while grouping them into a logical numbering system that mirrors other public and private accounting structures.</w:t>
      </w:r>
    </w:p>
    <w:p w14:paraId="2DE312F3" w14:textId="77777777" w:rsidR="00FC7F01" w:rsidRDefault="00FC7F01" w:rsidP="00270473">
      <w:pPr>
        <w:pStyle w:val="Heading2"/>
      </w:pPr>
      <w:bookmarkStart w:id="67" w:name="_Toc68532161"/>
      <w:r>
        <w:t>Location</w:t>
      </w:r>
      <w:bookmarkEnd w:id="67"/>
    </w:p>
    <w:p w14:paraId="7B5AC439" w14:textId="77777777" w:rsidR="004B599B" w:rsidRPr="00F52ADB" w:rsidRDefault="004B599B" w:rsidP="00D22162">
      <w:pPr>
        <w:spacing w:after="120"/>
        <w:rPr>
          <w:u w:val="single"/>
        </w:rPr>
      </w:pPr>
      <w:r>
        <w:rPr>
          <w:u w:val="single"/>
        </w:rPr>
        <w:t>Dimension Purpose and Usage</w:t>
      </w:r>
    </w:p>
    <w:p w14:paraId="6426B7A4" w14:textId="77777777" w:rsidR="004B599B" w:rsidRPr="004B599B" w:rsidRDefault="004B599B" w:rsidP="00D22162">
      <w:pPr>
        <w:spacing w:after="120"/>
        <w:ind w:left="3456" w:hanging="3456"/>
        <w:rPr>
          <w:i/>
        </w:rPr>
      </w:pPr>
      <w:r>
        <w:t>Purpose Definition</w:t>
      </w:r>
      <w:r>
        <w:tab/>
      </w:r>
      <w:r w:rsidRPr="00444962">
        <w:rPr>
          <w:i/>
        </w:rPr>
        <w:t>Used to record transactions to a specific geographic position.</w:t>
      </w:r>
    </w:p>
    <w:p w14:paraId="3C5FEF03" w14:textId="77777777" w:rsidR="004B599B" w:rsidRDefault="004B599B" w:rsidP="00D22162">
      <w:pPr>
        <w:spacing w:after="120"/>
        <w:ind w:left="3456" w:hanging="3456"/>
      </w:pPr>
      <w:r>
        <w:t>Purpose Rationale</w:t>
      </w:r>
      <w:r>
        <w:tab/>
      </w:r>
      <w:proofErr w:type="gramStart"/>
      <w:r>
        <w:t>The</w:t>
      </w:r>
      <w:proofErr w:type="gramEnd"/>
      <w:r>
        <w:t xml:space="preserve"> Location dimension exists to capture location information on a transactional level</w:t>
      </w:r>
      <w:r w:rsidR="00AD3039">
        <w:t xml:space="preserve">. </w:t>
      </w:r>
      <w:r>
        <w:t>A location may be an office or building, a city, county, other jurisdiction, or other physical location.</w:t>
      </w:r>
    </w:p>
    <w:p w14:paraId="4761172A" w14:textId="77777777" w:rsidR="004B599B" w:rsidRPr="00145CC7" w:rsidRDefault="004B599B" w:rsidP="00D22162">
      <w:pPr>
        <w:spacing w:after="120"/>
        <w:rPr>
          <w:u w:val="single"/>
        </w:rPr>
      </w:pPr>
      <w:r w:rsidRPr="00145CC7">
        <w:rPr>
          <w:u w:val="single"/>
        </w:rPr>
        <w:t xml:space="preserve">Dimension </w:t>
      </w:r>
      <w:r>
        <w:rPr>
          <w:u w:val="single"/>
        </w:rPr>
        <w:t>Format</w:t>
      </w:r>
    </w:p>
    <w:p w14:paraId="72C26E43" w14:textId="77777777" w:rsidR="004B599B" w:rsidRPr="00036426" w:rsidRDefault="004B599B" w:rsidP="00D22162">
      <w:pPr>
        <w:spacing w:after="120"/>
      </w:pPr>
      <w:r w:rsidRPr="00036426">
        <w:t>Format Definitions</w:t>
      </w:r>
    </w:p>
    <w:p w14:paraId="280CEF89" w14:textId="777C6EDF" w:rsidR="004B599B" w:rsidRDefault="004B599B" w:rsidP="00D22162">
      <w:pPr>
        <w:spacing w:after="120"/>
        <w:ind w:left="576" w:firstLine="576"/>
      </w:pPr>
      <w:r w:rsidRPr="00036426">
        <w:t>Keying Order</w:t>
      </w:r>
      <w:r w:rsidRPr="00706D14">
        <w:rPr>
          <w:color w:val="FF0000"/>
        </w:rPr>
        <w:tab/>
      </w:r>
      <w:r w:rsidR="00D22162">
        <w:rPr>
          <w:color w:val="FF0000"/>
        </w:rPr>
        <w:t xml:space="preserve">          </w:t>
      </w:r>
      <w:r w:rsidRPr="00036426">
        <w:t xml:space="preserve">Placed </w:t>
      </w:r>
      <w:r w:rsidR="007E00A4">
        <w:t>eighth</w:t>
      </w:r>
      <w:r w:rsidRPr="00036426">
        <w:t xml:space="preserve"> in </w:t>
      </w:r>
      <w:r>
        <w:t>d</w:t>
      </w:r>
      <w:r w:rsidRPr="00036426">
        <w:t>imension order.</w:t>
      </w:r>
    </w:p>
    <w:p w14:paraId="3FBFC23A" w14:textId="1357CEA7" w:rsidR="000868C4" w:rsidRPr="00CA1E93" w:rsidRDefault="000868C4" w:rsidP="00CA1E93">
      <w:pPr>
        <w:spacing w:after="120"/>
        <w:ind w:left="3447" w:hanging="2295"/>
      </w:pPr>
      <w:r w:rsidRPr="00E71919">
        <w:lastRenderedPageBreak/>
        <w:t xml:space="preserve">Summary Level 1  </w:t>
      </w:r>
      <w:r w:rsidRPr="00E71919">
        <w:tab/>
      </w:r>
      <w:r w:rsidR="001F2C5A">
        <w:rPr>
          <w:b/>
        </w:rPr>
        <w:t>Location</w:t>
      </w:r>
      <w:r w:rsidR="001F2C5A" w:rsidRPr="00AE0D29">
        <w:rPr>
          <w:b/>
        </w:rPr>
        <w:t xml:space="preserve"> Level 1</w:t>
      </w:r>
      <w:r w:rsidR="001F2C5A">
        <w:t xml:space="preserve">. Required. </w:t>
      </w:r>
      <w:r w:rsidR="001F2C5A" w:rsidRPr="00CC1ED1">
        <w:t xml:space="preserve">The highest summary level within the </w:t>
      </w:r>
      <w:r w:rsidR="00F0143A">
        <w:t>Location</w:t>
      </w:r>
      <w:r w:rsidR="001F2C5A" w:rsidRPr="00CC1ED1">
        <w:t xml:space="preserve"> dimension</w:t>
      </w:r>
      <w:r w:rsidR="001F2C5A">
        <w:t>. Agency level. Centrally-managed.</w:t>
      </w:r>
    </w:p>
    <w:p w14:paraId="134E2387" w14:textId="72EC184A" w:rsidR="004B599B" w:rsidRDefault="004B599B" w:rsidP="00D22162">
      <w:pPr>
        <w:spacing w:after="120"/>
        <w:ind w:left="3447" w:hanging="2295"/>
      </w:pPr>
      <w:r w:rsidRPr="00E71919">
        <w:t xml:space="preserve">Summary Level </w:t>
      </w:r>
      <w:r w:rsidR="000868C4">
        <w:t>2</w:t>
      </w:r>
      <w:r>
        <w:t>+</w:t>
      </w:r>
      <w:r w:rsidRPr="00E71919">
        <w:t xml:space="preserve">  </w:t>
      </w:r>
      <w:r w:rsidRPr="00E71919">
        <w:tab/>
      </w:r>
      <w:r w:rsidR="00405C91">
        <w:rPr>
          <w:b/>
        </w:rPr>
        <w:t>Location</w:t>
      </w:r>
      <w:r w:rsidR="00405C91" w:rsidRPr="00AE0D29">
        <w:rPr>
          <w:b/>
        </w:rPr>
        <w:t xml:space="preserve"> Level </w:t>
      </w:r>
      <w:r w:rsidR="00405C91">
        <w:rPr>
          <w:b/>
        </w:rPr>
        <w:t>2+</w:t>
      </w:r>
      <w:r w:rsidR="00405C91">
        <w:t xml:space="preserve">. Optional. </w:t>
      </w:r>
      <w:r w:rsidR="00405C91" w:rsidRPr="00CC1ED1">
        <w:t xml:space="preserve">The </w:t>
      </w:r>
      <w:r w:rsidR="00405C91">
        <w:t>second highest</w:t>
      </w:r>
      <w:r w:rsidR="00405C91" w:rsidRPr="00CC1ED1">
        <w:t xml:space="preserve"> summary level within the </w:t>
      </w:r>
      <w:r w:rsidR="00405C91">
        <w:t>Location</w:t>
      </w:r>
      <w:r w:rsidR="00405C91" w:rsidRPr="00CC1ED1">
        <w:t xml:space="preserve"> dimension</w:t>
      </w:r>
      <w:r w:rsidR="00405C91">
        <w:t>. Agencies may create summary levels to facilitate operational and reporting needs.</w:t>
      </w:r>
    </w:p>
    <w:p w14:paraId="37B5B3D5" w14:textId="77777777" w:rsidR="004B599B" w:rsidRPr="00D22162" w:rsidRDefault="004B599B" w:rsidP="00D22162">
      <w:pPr>
        <w:spacing w:after="120"/>
        <w:ind w:left="3447" w:hanging="2295"/>
      </w:pPr>
      <w:r>
        <w:t>Posting Level</w:t>
      </w:r>
      <w:r>
        <w:tab/>
      </w:r>
      <w:r>
        <w:rPr>
          <w:b/>
        </w:rPr>
        <w:t>Location</w:t>
      </w:r>
      <w:r w:rsidR="00EA36DD" w:rsidRPr="00EA36DD">
        <w:t>.</w:t>
      </w:r>
      <w:r w:rsidR="00AD3039">
        <w:rPr>
          <w:b/>
        </w:rPr>
        <w:t xml:space="preserve"> </w:t>
      </w:r>
      <w:r>
        <w:t>Lowest level of hierarchy</w:t>
      </w:r>
      <w:r w:rsidR="00AD3039">
        <w:t xml:space="preserve">. </w:t>
      </w:r>
      <w:r>
        <w:t xml:space="preserve"> </w:t>
      </w:r>
    </w:p>
    <w:p w14:paraId="50C0B849" w14:textId="77777777" w:rsidR="004B599B" w:rsidRPr="00E71919" w:rsidRDefault="004B599B" w:rsidP="00D22162">
      <w:pPr>
        <w:spacing w:after="120"/>
        <w:ind w:left="3447" w:hanging="2295"/>
      </w:pPr>
      <w:r w:rsidRPr="00E71919">
        <w:t>Number of Levels</w:t>
      </w:r>
      <w:r w:rsidRPr="00E71919">
        <w:tab/>
      </w:r>
      <w:r>
        <w:t>Unlimited</w:t>
      </w:r>
      <w:r w:rsidR="00AD3039">
        <w:t xml:space="preserve">. </w:t>
      </w:r>
    </w:p>
    <w:p w14:paraId="0C6AB46B" w14:textId="77777777" w:rsidR="00D22162" w:rsidRDefault="004B599B" w:rsidP="00D22162">
      <w:pPr>
        <w:spacing w:after="120"/>
        <w:ind w:left="3447" w:hanging="2295"/>
      </w:pPr>
      <w:r w:rsidRPr="00E71919">
        <w:t>Number of Children</w:t>
      </w:r>
      <w:r w:rsidRPr="00E71919">
        <w:tab/>
      </w:r>
      <w:r>
        <w:t>Unlimited.</w:t>
      </w:r>
    </w:p>
    <w:p w14:paraId="749835EC" w14:textId="1D3DFE01" w:rsidR="006413EC" w:rsidRDefault="004B599B" w:rsidP="00311CB0">
      <w:pPr>
        <w:spacing w:after="120"/>
        <w:ind w:left="3442" w:hanging="2290"/>
      </w:pPr>
      <w:r w:rsidRPr="00D22162">
        <w:t>Field Length Min</w:t>
      </w:r>
      <w:r w:rsidR="00311CB0">
        <w:t xml:space="preserve">    </w:t>
      </w:r>
      <w:r w:rsidR="006B42EE">
        <w:t xml:space="preserve"> </w:t>
      </w:r>
      <w:r w:rsidR="00311CB0">
        <w:t xml:space="preserve"> </w:t>
      </w:r>
      <w:r w:rsidR="00AE270E">
        <w:t xml:space="preserve"> </w:t>
      </w:r>
      <w:r w:rsidR="00EF5E0A">
        <w:t xml:space="preserve">        </w:t>
      </w:r>
      <w:r>
        <w:t xml:space="preserve">Minimum </w:t>
      </w:r>
      <w:r w:rsidR="00666D71">
        <w:t>3</w:t>
      </w:r>
      <w:r w:rsidR="006413EC">
        <w:t xml:space="preserve"> characters: Agency code (INTEGER, 3).</w:t>
      </w:r>
    </w:p>
    <w:p w14:paraId="0E59A2C3" w14:textId="77777777" w:rsidR="00D22162" w:rsidRDefault="006413EC" w:rsidP="00311CB0">
      <w:pPr>
        <w:spacing w:after="120"/>
        <w:ind w:left="3442" w:hanging="2290"/>
      </w:pPr>
      <w:r>
        <w:t>Field Length Max</w:t>
      </w:r>
      <w:r>
        <w:tab/>
        <w:t>M</w:t>
      </w:r>
      <w:r w:rsidR="004B599B">
        <w:t xml:space="preserve">aximum </w:t>
      </w:r>
      <w:r>
        <w:t xml:space="preserve">15 characters: Agency code (INTEGER, 3) plus </w:t>
      </w:r>
      <w:r w:rsidR="004B599B">
        <w:t xml:space="preserve">(ALPHANUMERIC, </w:t>
      </w:r>
      <w:r>
        <w:t>12</w:t>
      </w:r>
      <w:r w:rsidR="004B599B">
        <w:t>)</w:t>
      </w:r>
      <w:r w:rsidR="00D22162">
        <w:t>.</w:t>
      </w:r>
      <w:r>
        <w:t xml:space="preserve"> Determined by agency based on set-up needs.</w:t>
      </w:r>
    </w:p>
    <w:p w14:paraId="1FC5C86A" w14:textId="77777777" w:rsidR="004B599B" w:rsidRPr="00036426" w:rsidRDefault="004B599B" w:rsidP="00D22162">
      <w:pPr>
        <w:spacing w:after="120"/>
        <w:ind w:left="3420" w:hanging="3420"/>
      </w:pPr>
      <w:r w:rsidRPr="00036426">
        <w:t xml:space="preserve">Format </w:t>
      </w:r>
      <w:r>
        <w:t>Rationale</w:t>
      </w:r>
    </w:p>
    <w:p w14:paraId="01A65F7B" w14:textId="0B6EA1FD" w:rsidR="004B599B" w:rsidRDefault="004B599B" w:rsidP="00D22162">
      <w:pPr>
        <w:spacing w:after="120"/>
        <w:ind w:left="3447" w:hanging="2295"/>
      </w:pPr>
      <w:r w:rsidRPr="00036426">
        <w:t>Keying Order</w:t>
      </w:r>
      <w:r w:rsidRPr="00706D14">
        <w:rPr>
          <w:color w:val="FF0000"/>
        </w:rPr>
        <w:tab/>
      </w:r>
      <w:r>
        <w:t>Placed lower in the keying sequence as not all agencies will make use of the dimension</w:t>
      </w:r>
      <w:r w:rsidR="00B41775">
        <w:t>.</w:t>
      </w:r>
      <w:r>
        <w:t xml:space="preserve"> </w:t>
      </w:r>
      <w:r w:rsidR="00B41775">
        <w:t>F</w:t>
      </w:r>
      <w:r>
        <w:t>or the agencies that do, not</w:t>
      </w:r>
      <w:r w:rsidR="00B41775">
        <w:t xml:space="preserve"> all transactions may</w:t>
      </w:r>
      <w:r>
        <w:t xml:space="preserve"> require a location</w:t>
      </w:r>
      <w:r w:rsidR="00B41775">
        <w:t>.</w:t>
      </w:r>
    </w:p>
    <w:p w14:paraId="2E490D6D" w14:textId="00E7B489" w:rsidR="00971321" w:rsidRPr="00CA1E93" w:rsidRDefault="00971321" w:rsidP="00695C05">
      <w:pPr>
        <w:spacing w:after="120"/>
        <w:ind w:left="3447" w:hanging="2295"/>
      </w:pPr>
      <w:r w:rsidRPr="00E71919">
        <w:t xml:space="preserve">Summary Level 1  </w:t>
      </w:r>
      <w:r w:rsidRPr="00E71919">
        <w:tab/>
      </w:r>
      <w:r w:rsidR="00FC7684">
        <w:t xml:space="preserve">Agency level. </w:t>
      </w:r>
      <w:r>
        <w:t>Centrally-managed summary level but agencies control the description.</w:t>
      </w:r>
    </w:p>
    <w:p w14:paraId="66A9A468" w14:textId="786F6C81" w:rsidR="004B599B" w:rsidRPr="00B82386" w:rsidRDefault="004B599B" w:rsidP="00D22162">
      <w:pPr>
        <w:spacing w:after="120"/>
        <w:ind w:left="3447" w:hanging="2295"/>
      </w:pPr>
      <w:r w:rsidRPr="00E71919">
        <w:t xml:space="preserve">Summary Level </w:t>
      </w:r>
      <w:r w:rsidR="00971321">
        <w:t>2</w:t>
      </w:r>
      <w:r>
        <w:t>+</w:t>
      </w:r>
      <w:r w:rsidRPr="00E71919">
        <w:t xml:space="preserve">  </w:t>
      </w:r>
      <w:r w:rsidRPr="00E71919">
        <w:tab/>
      </w:r>
      <w:r>
        <w:t xml:space="preserve">Agencies that elect to utilize the Location dimension may build hierarchies that meet their </w:t>
      </w:r>
      <w:r w:rsidR="00ED607B">
        <w:t>mission</w:t>
      </w:r>
      <w:r w:rsidR="00AD3039">
        <w:t xml:space="preserve">. </w:t>
      </w:r>
    </w:p>
    <w:p w14:paraId="151528DD" w14:textId="24411525" w:rsidR="004B599B" w:rsidRDefault="004B599B" w:rsidP="00D22162">
      <w:pPr>
        <w:spacing w:after="120"/>
        <w:ind w:left="3447" w:hanging="2295"/>
      </w:pPr>
      <w:r>
        <w:t>Posting Level</w:t>
      </w:r>
      <w:r>
        <w:tab/>
        <w:t xml:space="preserve">Agencies that elect to utilize the Location dimension may build hierarchies that meet their </w:t>
      </w:r>
      <w:r w:rsidR="00ED607B">
        <w:t>mission</w:t>
      </w:r>
      <w:r w:rsidR="00AD3039">
        <w:t xml:space="preserve">. </w:t>
      </w:r>
      <w:r>
        <w:t>There is no preset level for the posting level in this hierarchy.</w:t>
      </w:r>
    </w:p>
    <w:p w14:paraId="67CD679F" w14:textId="77777777" w:rsidR="006B42EE" w:rsidRDefault="004B599B" w:rsidP="00D22162">
      <w:pPr>
        <w:spacing w:after="120"/>
        <w:ind w:left="3447" w:hanging="2295"/>
      </w:pPr>
      <w:r w:rsidRPr="00E71919">
        <w:t>Number of Levels</w:t>
      </w:r>
      <w:r>
        <w:t>/</w:t>
      </w:r>
    </w:p>
    <w:p w14:paraId="4E0D2796" w14:textId="6FD4ECA7" w:rsidR="00D22162" w:rsidRDefault="004B599B" w:rsidP="006B42EE">
      <w:pPr>
        <w:spacing w:after="120"/>
        <w:ind w:left="3447" w:hanging="2295"/>
      </w:pPr>
      <w:r w:rsidRPr="00E71919">
        <w:t>Number of Children</w:t>
      </w:r>
      <w:r w:rsidRPr="00E71919">
        <w:tab/>
      </w:r>
      <w:r>
        <w:t xml:space="preserve">Agencies that elect to utilize the Location dimension may build hierarchies that meet their </w:t>
      </w:r>
      <w:r w:rsidR="00ED607B">
        <w:t>mission</w:t>
      </w:r>
      <w:r>
        <w:t>.</w:t>
      </w:r>
    </w:p>
    <w:p w14:paraId="69B483C0" w14:textId="77777777" w:rsidR="001259D3" w:rsidRDefault="004B599B" w:rsidP="001259D3">
      <w:pPr>
        <w:spacing w:after="120"/>
        <w:ind w:left="3456" w:hanging="2301"/>
      </w:pPr>
      <w:r w:rsidRPr="00D22162">
        <w:t>Field Length Min/Max</w:t>
      </w:r>
      <w:r w:rsidR="005760DC">
        <w:t xml:space="preserve">     </w:t>
      </w:r>
      <w:r w:rsidR="00EF5E0A">
        <w:t xml:space="preserve"> </w:t>
      </w:r>
      <w:r w:rsidR="005760DC">
        <w:t xml:space="preserve"> </w:t>
      </w:r>
      <w:r w:rsidR="001259D3" w:rsidRPr="006E61D6">
        <w:t xml:space="preserve">In order to give agencies maximum flexibility in their numbering conventions for </w:t>
      </w:r>
      <w:r w:rsidR="001259D3">
        <w:t>their locations,</w:t>
      </w:r>
      <w:r w:rsidR="001259D3" w:rsidRPr="006E61D6">
        <w:t xml:space="preserve"> while </w:t>
      </w:r>
      <w:r w:rsidR="001259D3">
        <w:t>also avoiding</w:t>
      </w:r>
      <w:r w:rsidR="001259D3" w:rsidRPr="006E61D6">
        <w:t xml:space="preserve"> the risk of using a </w:t>
      </w:r>
      <w:r w:rsidR="001259D3">
        <w:t>location</w:t>
      </w:r>
      <w:r w:rsidR="001259D3" w:rsidRPr="006E61D6">
        <w:t xml:space="preserve"> code already in use by another agency</w:t>
      </w:r>
      <w:r w:rsidR="001259D3">
        <w:t xml:space="preserve">, </w:t>
      </w:r>
      <w:r w:rsidR="001259D3" w:rsidRPr="006E61D6">
        <w:t xml:space="preserve">all codes at all levels in the </w:t>
      </w:r>
      <w:r w:rsidR="001259D3">
        <w:t>Location</w:t>
      </w:r>
      <w:r w:rsidR="001259D3" w:rsidRPr="006E61D6">
        <w:t xml:space="preserve"> dimension will start with the 3-digit </w:t>
      </w:r>
      <w:r w:rsidR="001259D3">
        <w:t>a</w:t>
      </w:r>
      <w:r w:rsidR="001259D3" w:rsidRPr="006E61D6">
        <w:t>gency code</w:t>
      </w:r>
      <w:r w:rsidR="001259D3">
        <w:t xml:space="preserve">. </w:t>
      </w:r>
    </w:p>
    <w:p w14:paraId="4D2F49EC" w14:textId="77777777" w:rsidR="00FC7F01" w:rsidRDefault="00FC7F01" w:rsidP="00270473">
      <w:pPr>
        <w:pStyle w:val="Heading2"/>
      </w:pPr>
      <w:bookmarkStart w:id="68" w:name="_Toc68532162"/>
      <w:r>
        <w:t>Additional Reporting</w:t>
      </w:r>
      <w:bookmarkEnd w:id="68"/>
    </w:p>
    <w:p w14:paraId="2A33AF2A" w14:textId="77777777" w:rsidR="001F0681" w:rsidRPr="001F0681" w:rsidRDefault="001F0681" w:rsidP="001F0681">
      <w:pPr>
        <w:spacing w:after="120"/>
        <w:rPr>
          <w:u w:val="single"/>
        </w:rPr>
      </w:pPr>
      <w:r>
        <w:rPr>
          <w:u w:val="single"/>
        </w:rPr>
        <w:t>Dimension Purpose and Usage</w:t>
      </w:r>
    </w:p>
    <w:p w14:paraId="1BD39C3A" w14:textId="2F602CCD" w:rsidR="001F0681" w:rsidRPr="001F0681" w:rsidRDefault="001F0681" w:rsidP="001F0681">
      <w:pPr>
        <w:spacing w:after="120"/>
        <w:ind w:left="3456" w:hanging="3456"/>
        <w:rPr>
          <w:color w:val="FF0000"/>
        </w:rPr>
      </w:pPr>
      <w:r>
        <w:t>Purpose Definition</w:t>
      </w:r>
      <w:r>
        <w:tab/>
      </w:r>
      <w:r w:rsidRPr="00934C52">
        <w:rPr>
          <w:i/>
        </w:rPr>
        <w:t xml:space="preserve">Used to code </w:t>
      </w:r>
      <w:r w:rsidRPr="00126B82">
        <w:rPr>
          <w:i/>
        </w:rPr>
        <w:t xml:space="preserve">and track </w:t>
      </w:r>
      <w:r w:rsidR="00B42A92" w:rsidRPr="00126B82">
        <w:rPr>
          <w:i/>
        </w:rPr>
        <w:t>financial transactions</w:t>
      </w:r>
      <w:r w:rsidRPr="00934C52">
        <w:rPr>
          <w:i/>
        </w:rPr>
        <w:t xml:space="preserve"> based on agency-specific needs</w:t>
      </w:r>
      <w:r w:rsidR="00AD3039">
        <w:rPr>
          <w:i/>
        </w:rPr>
        <w:t xml:space="preserve">. </w:t>
      </w:r>
    </w:p>
    <w:p w14:paraId="201D18DE" w14:textId="77777777" w:rsidR="001F0681" w:rsidRPr="001F0681" w:rsidRDefault="001F0681" w:rsidP="001F0681">
      <w:pPr>
        <w:spacing w:after="120"/>
        <w:ind w:left="3456" w:hanging="3456"/>
      </w:pPr>
      <w:r>
        <w:t>Purpose Rationale</w:t>
      </w:r>
      <w:r>
        <w:tab/>
        <w:t>This dimension is optional and can be used for agency-specific reporting and tracking requirements on activities that may cross several projects, programs, appropriations, organizational units, or locations.</w:t>
      </w:r>
    </w:p>
    <w:p w14:paraId="174FAE2E" w14:textId="77777777" w:rsidR="001F0681" w:rsidRPr="00036426" w:rsidRDefault="001F0681" w:rsidP="001F0681">
      <w:pPr>
        <w:spacing w:after="120"/>
        <w:rPr>
          <w:u w:val="single"/>
        </w:rPr>
      </w:pPr>
      <w:r w:rsidRPr="00036426">
        <w:rPr>
          <w:u w:val="single"/>
        </w:rPr>
        <w:t>Dimension Format</w:t>
      </w:r>
    </w:p>
    <w:p w14:paraId="66D9D0A8" w14:textId="77777777" w:rsidR="001F0681" w:rsidRPr="001F0681" w:rsidRDefault="001F0681" w:rsidP="001F0681">
      <w:pPr>
        <w:spacing w:after="120"/>
        <w:rPr>
          <w:color w:val="FF0000"/>
        </w:rPr>
      </w:pPr>
      <w:r w:rsidRPr="00036426">
        <w:t>Format Definitions</w:t>
      </w:r>
    </w:p>
    <w:p w14:paraId="4D26B4D7" w14:textId="5B3D78D9" w:rsidR="001F0681" w:rsidRDefault="001F0681" w:rsidP="001F0681">
      <w:pPr>
        <w:spacing w:after="120"/>
        <w:ind w:left="576" w:firstLine="576"/>
      </w:pPr>
      <w:r w:rsidRPr="00036426">
        <w:t>Keying Order</w:t>
      </w:r>
      <w:r w:rsidRPr="00706D14">
        <w:rPr>
          <w:color w:val="FF0000"/>
        </w:rPr>
        <w:tab/>
      </w:r>
      <w:r>
        <w:rPr>
          <w:color w:val="FF0000"/>
        </w:rPr>
        <w:t xml:space="preserve">          </w:t>
      </w:r>
      <w:r w:rsidRPr="00036426">
        <w:t xml:space="preserve">Placed </w:t>
      </w:r>
      <w:r w:rsidR="00971321">
        <w:t>nin</w:t>
      </w:r>
      <w:r w:rsidRPr="00036426">
        <w:t>t</w:t>
      </w:r>
      <w:r>
        <w:t>h</w:t>
      </w:r>
      <w:r w:rsidRPr="00036426">
        <w:t xml:space="preserve"> in </w:t>
      </w:r>
      <w:r>
        <w:t>d</w:t>
      </w:r>
      <w:r w:rsidRPr="00036426">
        <w:t>imension order.</w:t>
      </w:r>
    </w:p>
    <w:p w14:paraId="30EDD79C" w14:textId="6051FB3D" w:rsidR="00971321" w:rsidRPr="00CA1E93" w:rsidRDefault="00971321" w:rsidP="00CA1E93">
      <w:pPr>
        <w:spacing w:after="120"/>
        <w:ind w:left="3447" w:hanging="2295"/>
      </w:pPr>
      <w:r w:rsidRPr="00E71919">
        <w:lastRenderedPageBreak/>
        <w:t xml:space="preserve">Summary Level 1  </w:t>
      </w:r>
      <w:r w:rsidRPr="00E71919">
        <w:tab/>
      </w:r>
      <w:r w:rsidR="00405C91">
        <w:rPr>
          <w:b/>
        </w:rPr>
        <w:t>Additional Reporting</w:t>
      </w:r>
      <w:r w:rsidR="00405C91" w:rsidRPr="00AE0D29">
        <w:rPr>
          <w:b/>
        </w:rPr>
        <w:t xml:space="preserve"> Level 1</w:t>
      </w:r>
      <w:r w:rsidR="00405C91">
        <w:t xml:space="preserve">. Required. </w:t>
      </w:r>
      <w:r w:rsidR="00405C91" w:rsidRPr="00CC1ED1">
        <w:t xml:space="preserve">The highest summary level within the </w:t>
      </w:r>
      <w:r w:rsidR="00405C91">
        <w:t>Additional Reporting</w:t>
      </w:r>
      <w:r w:rsidR="00405C91" w:rsidRPr="00CC1ED1">
        <w:t xml:space="preserve"> dimension</w:t>
      </w:r>
      <w:r w:rsidR="00405C91">
        <w:t>. Agency level. Centrally-managed.</w:t>
      </w:r>
    </w:p>
    <w:p w14:paraId="506B0A9C" w14:textId="44204E44" w:rsidR="001F2C5A" w:rsidRPr="00CA1E93" w:rsidRDefault="001F0681" w:rsidP="001F2C5A">
      <w:pPr>
        <w:spacing w:after="120"/>
        <w:ind w:left="3447" w:hanging="2295"/>
        <w:rPr>
          <w:b/>
        </w:rPr>
      </w:pPr>
      <w:r w:rsidRPr="00E71919">
        <w:t xml:space="preserve">Summary Level </w:t>
      </w:r>
      <w:r w:rsidR="00971321">
        <w:t>2</w:t>
      </w:r>
      <w:r>
        <w:t>+</w:t>
      </w:r>
      <w:r w:rsidRPr="00E71919">
        <w:t xml:space="preserve">  </w:t>
      </w:r>
      <w:r w:rsidRPr="00E71919">
        <w:tab/>
      </w:r>
      <w:r w:rsidR="001F2C5A">
        <w:rPr>
          <w:b/>
        </w:rPr>
        <w:t>Additional Reporting</w:t>
      </w:r>
      <w:r w:rsidR="001F2C5A" w:rsidRPr="00AE0D29">
        <w:rPr>
          <w:b/>
        </w:rPr>
        <w:t xml:space="preserve"> Level </w:t>
      </w:r>
      <w:r w:rsidR="001F2C5A">
        <w:rPr>
          <w:b/>
        </w:rPr>
        <w:t>2+</w:t>
      </w:r>
      <w:r w:rsidR="001F2C5A">
        <w:t xml:space="preserve">. Optional. </w:t>
      </w:r>
      <w:r w:rsidR="001F2C5A" w:rsidRPr="00CC1ED1">
        <w:t xml:space="preserve">The </w:t>
      </w:r>
      <w:r w:rsidR="001F2C5A">
        <w:t>second highest</w:t>
      </w:r>
      <w:r w:rsidR="001F2C5A" w:rsidRPr="00CC1ED1">
        <w:t xml:space="preserve"> summary level within the </w:t>
      </w:r>
      <w:r w:rsidR="001F2C5A">
        <w:t>Additional Reporting</w:t>
      </w:r>
      <w:r w:rsidR="001F2C5A" w:rsidRPr="00CC1ED1">
        <w:t xml:space="preserve"> dimension</w:t>
      </w:r>
      <w:r w:rsidR="001F2C5A">
        <w:t xml:space="preserve">. Agencies may create summary levels to facilitate operational and reporting needs. </w:t>
      </w:r>
    </w:p>
    <w:p w14:paraId="60F486F4" w14:textId="0D9B1E91" w:rsidR="001F0681" w:rsidRPr="00E71919" w:rsidRDefault="001F0681" w:rsidP="001F0681">
      <w:pPr>
        <w:spacing w:after="120"/>
        <w:ind w:left="3447" w:hanging="2295"/>
      </w:pPr>
    </w:p>
    <w:p w14:paraId="1FEA193B" w14:textId="77777777" w:rsidR="001F0681" w:rsidRPr="001F0681" w:rsidRDefault="001F0681" w:rsidP="001F0681">
      <w:pPr>
        <w:spacing w:after="120"/>
        <w:ind w:left="3447" w:hanging="2295"/>
      </w:pPr>
      <w:r w:rsidRPr="00E71919">
        <w:t>Posting Level</w:t>
      </w:r>
      <w:r w:rsidRPr="00E71919">
        <w:tab/>
        <w:t>Lowest level of hierarchy</w:t>
      </w:r>
      <w:r w:rsidR="00AD3039">
        <w:t xml:space="preserve">. </w:t>
      </w:r>
      <w:r>
        <w:t>P</w:t>
      </w:r>
      <w:r w:rsidRPr="007262CF">
        <w:t xml:space="preserve">osting happens at the lowest level of any hierarchy within </w:t>
      </w:r>
      <w:r w:rsidR="00450F58">
        <w:t>Luma</w:t>
      </w:r>
      <w:r w:rsidR="00AD3039">
        <w:t xml:space="preserve">. </w:t>
      </w:r>
    </w:p>
    <w:p w14:paraId="72D6B70F" w14:textId="77777777" w:rsidR="002B0800" w:rsidRPr="00E71919" w:rsidRDefault="001F0681" w:rsidP="00F52ADB">
      <w:pPr>
        <w:spacing w:after="120"/>
        <w:ind w:left="3442" w:hanging="2290"/>
      </w:pPr>
      <w:r w:rsidRPr="00E71919">
        <w:t>Number of Levels</w:t>
      </w:r>
      <w:r w:rsidRPr="00E71919">
        <w:tab/>
        <w:t>Unlimited</w:t>
      </w:r>
      <w:r w:rsidR="00AD3039">
        <w:t xml:space="preserve">. </w:t>
      </w:r>
      <w:r>
        <w:t>To be d</w:t>
      </w:r>
      <w:r w:rsidRPr="00E71919">
        <w:t xml:space="preserve">etermined </w:t>
      </w:r>
      <w:r>
        <w:t xml:space="preserve">at the agency level </w:t>
      </w:r>
      <w:r w:rsidRPr="00E71919">
        <w:t xml:space="preserve">based </w:t>
      </w:r>
      <w:r>
        <w:t>on</w:t>
      </w:r>
      <w:r w:rsidR="00F52ADB">
        <w:t xml:space="preserve"> </w:t>
      </w:r>
      <w:r>
        <w:t xml:space="preserve">agency </w:t>
      </w:r>
      <w:r w:rsidRPr="00E71919">
        <w:t>needs</w:t>
      </w:r>
      <w:r w:rsidR="00AD3039">
        <w:t xml:space="preserve">. </w:t>
      </w:r>
    </w:p>
    <w:p w14:paraId="3239B75B" w14:textId="77777777" w:rsidR="001F0681" w:rsidRDefault="001F0681" w:rsidP="002B0800">
      <w:pPr>
        <w:ind w:left="576" w:firstLine="576"/>
      </w:pPr>
      <w:r w:rsidRPr="00E71919">
        <w:t>Number of Children</w:t>
      </w:r>
      <w:r>
        <w:t xml:space="preserve">          </w:t>
      </w:r>
      <w:r w:rsidRPr="00E71919">
        <w:t>Unlimited</w:t>
      </w:r>
      <w:r w:rsidR="00AD3039">
        <w:t xml:space="preserve">. </w:t>
      </w:r>
      <w:r>
        <w:t>To be d</w:t>
      </w:r>
      <w:r w:rsidRPr="00E71919">
        <w:t xml:space="preserve">etermined </w:t>
      </w:r>
      <w:r>
        <w:t xml:space="preserve">at the agency level </w:t>
      </w:r>
      <w:r w:rsidRPr="00E71919">
        <w:t>based</w:t>
      </w:r>
      <w:r>
        <w:t xml:space="preserve"> on</w:t>
      </w:r>
      <w:r w:rsidRPr="00E71919">
        <w:t xml:space="preserve"> </w:t>
      </w:r>
    </w:p>
    <w:p w14:paraId="6B3BF01A" w14:textId="77777777" w:rsidR="002B0800" w:rsidRPr="001F0681" w:rsidRDefault="001F0681" w:rsidP="00F52ADB">
      <w:pPr>
        <w:spacing w:after="120"/>
        <w:ind w:left="2871" w:firstLine="576"/>
      </w:pPr>
      <w:r>
        <w:t xml:space="preserve">agency </w:t>
      </w:r>
      <w:r w:rsidRPr="00E71919">
        <w:t>need</w:t>
      </w:r>
      <w:r>
        <w:t>s</w:t>
      </w:r>
      <w:r w:rsidR="00AD3039">
        <w:t xml:space="preserve">. </w:t>
      </w:r>
    </w:p>
    <w:p w14:paraId="757711AC" w14:textId="77777777" w:rsidR="001F0681" w:rsidRPr="001F0681" w:rsidRDefault="001F0681" w:rsidP="001F0681">
      <w:pPr>
        <w:spacing w:after="120"/>
        <w:ind w:left="3447" w:hanging="2295"/>
      </w:pPr>
      <w:r w:rsidRPr="003C5721">
        <w:t>Field Length Min</w:t>
      </w:r>
      <w:r w:rsidRPr="003C5721">
        <w:tab/>
      </w:r>
      <w:r w:rsidR="00AE270E">
        <w:t xml:space="preserve">Minimum </w:t>
      </w:r>
      <w:r w:rsidR="00561D22">
        <w:t>3</w:t>
      </w:r>
      <w:r w:rsidR="00AE270E">
        <w:t xml:space="preserve"> characters: Agency code (INTEGER, 3)</w:t>
      </w:r>
      <w:r w:rsidR="00561D22">
        <w:rPr>
          <w:rStyle w:val="CommentReference"/>
        </w:rPr>
        <w:t xml:space="preserve">. </w:t>
      </w:r>
      <w:r w:rsidR="00AE270E">
        <w:t>Determined by agency based on set-up needs.</w:t>
      </w:r>
    </w:p>
    <w:p w14:paraId="73EDF9FA" w14:textId="77777777" w:rsidR="00AE270E" w:rsidRDefault="001F0681" w:rsidP="00AE270E">
      <w:pPr>
        <w:spacing w:after="120"/>
        <w:ind w:left="3442" w:hanging="2290"/>
      </w:pPr>
      <w:r w:rsidRPr="007A54BA">
        <w:t>Field Length Max</w:t>
      </w:r>
      <w:r w:rsidRPr="007A54BA">
        <w:tab/>
      </w:r>
      <w:r w:rsidR="00AE270E">
        <w:t xml:space="preserve">Maximum 15 characters: </w:t>
      </w:r>
      <w:bookmarkStart w:id="69" w:name="_Hlk58928920"/>
      <w:r w:rsidR="00AE270E">
        <w:t>Agency code (INTEGER, 3) plus (ALPHANUMERIC, 12). Determined by agency based on set-up needs.</w:t>
      </w:r>
      <w:bookmarkEnd w:id="69"/>
    </w:p>
    <w:p w14:paraId="0B9BEDD3" w14:textId="77777777" w:rsidR="001F0681" w:rsidRPr="001F0681" w:rsidRDefault="001F0681" w:rsidP="00EF5E0A">
      <w:pPr>
        <w:spacing w:after="120"/>
        <w:rPr>
          <w:color w:val="FF0000"/>
        </w:rPr>
      </w:pPr>
      <w:r w:rsidRPr="007A54BA">
        <w:t xml:space="preserve">Format Rationale  </w:t>
      </w:r>
    </w:p>
    <w:p w14:paraId="77FF70D2" w14:textId="3920911A" w:rsidR="001F0681" w:rsidRDefault="001F0681" w:rsidP="001F0681">
      <w:pPr>
        <w:spacing w:after="120"/>
        <w:ind w:left="3420" w:hanging="2268"/>
      </w:pPr>
      <w:r w:rsidRPr="008A7425">
        <w:t>Keying Order</w:t>
      </w:r>
      <w:r w:rsidRPr="008A7425">
        <w:tab/>
      </w:r>
      <w:r>
        <w:t>Not all agencies will employ the use of the Additional Reporting dimension</w:t>
      </w:r>
      <w:r w:rsidR="00AD3039">
        <w:t xml:space="preserve">. </w:t>
      </w:r>
      <w:r>
        <w:t>For those that do, additional reporting may be triggered by an upstream keying event in one of the other dimensions</w:t>
      </w:r>
      <w:r w:rsidR="00AD3039">
        <w:t xml:space="preserve">. </w:t>
      </w:r>
      <w:r w:rsidR="00450F58">
        <w:t>Luma</w:t>
      </w:r>
      <w:r w:rsidRPr="008A7425">
        <w:t xml:space="preserve"> allows for downstream pairing and defaulting when keying transactions</w:t>
      </w:r>
      <w:r w:rsidR="00AD3039">
        <w:t xml:space="preserve">. </w:t>
      </w:r>
      <w:r w:rsidRPr="008A7425">
        <w:t xml:space="preserve">By placing the Additional Reporting dimension in the </w:t>
      </w:r>
      <w:r w:rsidR="001B0337">
        <w:t>ninth</w:t>
      </w:r>
      <w:r w:rsidRPr="008A7425">
        <w:t xml:space="preserve"> position, agencies will be able to use this dimension for agency specific activit</w:t>
      </w:r>
      <w:r>
        <w:t>y tracking and reporting</w:t>
      </w:r>
      <w:r w:rsidRPr="008A7425">
        <w:t xml:space="preserve"> with “upstream” dimensions</w:t>
      </w:r>
      <w:r w:rsidR="00AD3039">
        <w:t xml:space="preserve">. </w:t>
      </w:r>
    </w:p>
    <w:p w14:paraId="5DE9BD3B" w14:textId="2997864D" w:rsidR="008B6AFD" w:rsidRPr="001F0681" w:rsidRDefault="008B6AFD" w:rsidP="00CA1E93">
      <w:pPr>
        <w:spacing w:after="120"/>
        <w:ind w:left="3447" w:hanging="2295"/>
      </w:pPr>
      <w:r w:rsidRPr="00E71919">
        <w:t xml:space="preserve">Summary Level 1  </w:t>
      </w:r>
      <w:r w:rsidRPr="00E71919">
        <w:tab/>
      </w:r>
      <w:r w:rsidR="00FC7684">
        <w:t xml:space="preserve">Agency level. </w:t>
      </w:r>
      <w:r w:rsidR="00982E8B">
        <w:t>Centrally-managed summary level but agencies control the description.</w:t>
      </w:r>
    </w:p>
    <w:p w14:paraId="1D9818D5" w14:textId="4DF96700" w:rsidR="001F0681" w:rsidRPr="001F0681" w:rsidRDefault="001F0681" w:rsidP="00CA1E93">
      <w:pPr>
        <w:spacing w:after="120"/>
        <w:ind w:left="3420" w:hanging="2250"/>
      </w:pPr>
      <w:r w:rsidRPr="00123BB5">
        <w:t xml:space="preserve">Summary Level </w:t>
      </w:r>
      <w:r w:rsidR="008B6AFD">
        <w:t>2</w:t>
      </w:r>
      <w:r>
        <w:t>+</w:t>
      </w:r>
      <w:r w:rsidRPr="00123BB5">
        <w:t xml:space="preserve">  </w:t>
      </w:r>
      <w:r w:rsidRPr="00706D14">
        <w:rPr>
          <w:color w:val="FF0000"/>
        </w:rPr>
        <w:tab/>
      </w:r>
      <w:r w:rsidRPr="00362833">
        <w:t xml:space="preserve">To be determined </w:t>
      </w:r>
      <w:r>
        <w:t xml:space="preserve">at the </w:t>
      </w:r>
      <w:r w:rsidRPr="00E71919">
        <w:t xml:space="preserve">agency </w:t>
      </w:r>
      <w:r>
        <w:t xml:space="preserve">level </w:t>
      </w:r>
      <w:r w:rsidRPr="00E71919">
        <w:t xml:space="preserve">based on </w:t>
      </w:r>
      <w:r>
        <w:t xml:space="preserve">operational </w:t>
      </w:r>
      <w:r w:rsidRPr="00E71919">
        <w:t>need</w:t>
      </w:r>
      <w:r>
        <w:t>s</w:t>
      </w:r>
      <w:r w:rsidR="00AD3039">
        <w:t xml:space="preserve">. </w:t>
      </w:r>
      <w:r>
        <w:t>S</w:t>
      </w:r>
      <w:r w:rsidRPr="00E71919">
        <w:t>ummary level</w:t>
      </w:r>
      <w:r>
        <w:t>s</w:t>
      </w:r>
      <w:r w:rsidRPr="00E71919">
        <w:t xml:space="preserve"> within the Additional Reporting dimension</w:t>
      </w:r>
      <w:r>
        <w:t xml:space="preserve"> are optional</w:t>
      </w:r>
      <w:r w:rsidR="00AD3039">
        <w:t xml:space="preserve">. </w:t>
      </w:r>
      <w:r w:rsidRPr="00E71919">
        <w:t>If not needed</w:t>
      </w:r>
      <w:r>
        <w:t>, agencies can</w:t>
      </w:r>
      <w:r w:rsidR="003C5A98">
        <w:t xml:space="preserve"> set up</w:t>
      </w:r>
      <w:r>
        <w:t xml:space="preserve"> a posting level item with no </w:t>
      </w:r>
      <w:r w:rsidR="00674637">
        <w:t xml:space="preserve">additional </w:t>
      </w:r>
      <w:r>
        <w:t>hierarchical roll-up</w:t>
      </w:r>
      <w:r w:rsidR="00AD3039">
        <w:t xml:space="preserve">. </w:t>
      </w:r>
    </w:p>
    <w:p w14:paraId="6EFD769F" w14:textId="77777777" w:rsidR="001F0681" w:rsidRPr="00706D14" w:rsidRDefault="001F0681" w:rsidP="00CA1E93">
      <w:pPr>
        <w:spacing w:after="120"/>
        <w:ind w:left="3420" w:hanging="2250"/>
        <w:rPr>
          <w:color w:val="FF0000"/>
        </w:rPr>
      </w:pPr>
      <w:r w:rsidRPr="00D30528">
        <w:t>Posting Level</w:t>
      </w:r>
      <w:r w:rsidRPr="00D30528">
        <w:tab/>
        <w:t xml:space="preserve">Reporting may be done at any level within a hierarchy but posting happens at the lowest level of any hierarchy within the </w:t>
      </w:r>
      <w:r w:rsidR="00450F58">
        <w:t>Luma</w:t>
      </w:r>
      <w:r w:rsidRPr="00D30528">
        <w:t xml:space="preserve"> application</w:t>
      </w:r>
      <w:r w:rsidR="00AD3039">
        <w:t xml:space="preserve">. </w:t>
      </w:r>
    </w:p>
    <w:p w14:paraId="0CBCAA66" w14:textId="77777777" w:rsidR="00A622B3" w:rsidRDefault="001F0681" w:rsidP="0010333B">
      <w:pPr>
        <w:ind w:left="1080" w:firstLine="90"/>
      </w:pPr>
      <w:r w:rsidRPr="00D30528">
        <w:t>Number of Levels/</w:t>
      </w:r>
    </w:p>
    <w:p w14:paraId="3CE1CF9D" w14:textId="76B8D8EB" w:rsidR="001F0681" w:rsidRPr="001F0681" w:rsidRDefault="001F0681" w:rsidP="00F11150">
      <w:pPr>
        <w:spacing w:after="120"/>
        <w:ind w:left="3420" w:hanging="2250"/>
      </w:pPr>
      <w:r w:rsidRPr="00D30528">
        <w:t>Number of Children</w:t>
      </w:r>
      <w:r w:rsidR="00A622B3">
        <w:t xml:space="preserve">         </w:t>
      </w:r>
      <w:r w:rsidRPr="00D30528">
        <w:t>Unlimited number of “children” can be created from one “parent” within any level of the Additional Reporting hierarchy</w:t>
      </w:r>
      <w:r w:rsidR="00AD3039">
        <w:t xml:space="preserve">. </w:t>
      </w:r>
      <w:r w:rsidR="003717F8">
        <w:t>The</w:t>
      </w:r>
      <w:r w:rsidR="002B0800">
        <w:t xml:space="preserve"> </w:t>
      </w:r>
      <w:r w:rsidRPr="00D30528">
        <w:t>ability to add unlimited levels within a hierarchy and to create an unlimited number of children from a parent</w:t>
      </w:r>
      <w:r w:rsidR="003717F8">
        <w:t xml:space="preserve"> </w:t>
      </w:r>
      <w:r w:rsidRPr="00D30528">
        <w:t xml:space="preserve">provides maximum flexibility to agencies to structure the Additional Reporting dimension as deep and as broad as needed to achieve operational, reporting, and </w:t>
      </w:r>
      <w:r w:rsidR="001A0D7F">
        <w:t>transactional</w:t>
      </w:r>
      <w:r w:rsidRPr="00D30528">
        <w:t xml:space="preserve"> needs.</w:t>
      </w:r>
    </w:p>
    <w:p w14:paraId="3DE69B98" w14:textId="3869A872" w:rsidR="00EF5E0A" w:rsidRDefault="001F0681" w:rsidP="00EF5E0A">
      <w:pPr>
        <w:spacing w:after="120"/>
        <w:ind w:left="3456" w:hanging="2301"/>
      </w:pPr>
      <w:r w:rsidRPr="00291CE2">
        <w:t>Field Length Min</w:t>
      </w:r>
      <w:r w:rsidR="001B758D">
        <w:t>/</w:t>
      </w:r>
      <w:r w:rsidRPr="00291CE2">
        <w:t>Max</w:t>
      </w:r>
      <w:r w:rsidRPr="00291CE2">
        <w:tab/>
      </w:r>
      <w:r w:rsidR="00AE270E" w:rsidRPr="006E61D6">
        <w:t xml:space="preserve">In order to give agencies maximum flexibility in their numbering conventions for </w:t>
      </w:r>
      <w:r w:rsidR="00AE270E">
        <w:t>their additional reporting elements,</w:t>
      </w:r>
      <w:r w:rsidR="00AE270E" w:rsidRPr="006E61D6">
        <w:t xml:space="preserve"> while </w:t>
      </w:r>
      <w:r w:rsidR="00AE270E">
        <w:t xml:space="preserve">also </w:t>
      </w:r>
      <w:r w:rsidR="00AE270E">
        <w:lastRenderedPageBreak/>
        <w:t>avoiding</w:t>
      </w:r>
      <w:r w:rsidR="00AE270E" w:rsidRPr="006E61D6">
        <w:t xml:space="preserve"> the risk of using a</w:t>
      </w:r>
      <w:r w:rsidR="00AE270E">
        <w:t>n additional reporting</w:t>
      </w:r>
      <w:r w:rsidR="00AE270E" w:rsidRPr="006E61D6">
        <w:t xml:space="preserve"> code already in use by another agency</w:t>
      </w:r>
      <w:r w:rsidR="00AE270E">
        <w:t xml:space="preserve">, </w:t>
      </w:r>
      <w:r w:rsidR="00AE270E" w:rsidRPr="006E61D6">
        <w:t xml:space="preserve">all codes at all levels in the </w:t>
      </w:r>
      <w:r w:rsidR="00AE270E">
        <w:t>Additional Reporting</w:t>
      </w:r>
      <w:r w:rsidR="00AE270E" w:rsidRPr="006E61D6">
        <w:t xml:space="preserve"> dimension will start with the 3-digit </w:t>
      </w:r>
      <w:r w:rsidR="00AE270E">
        <w:t>a</w:t>
      </w:r>
      <w:r w:rsidR="00AE270E" w:rsidRPr="006E61D6">
        <w:t>gency code</w:t>
      </w:r>
      <w:r w:rsidR="00AE270E">
        <w:t xml:space="preserve">. </w:t>
      </w:r>
    </w:p>
    <w:p w14:paraId="03A81655" w14:textId="240872CB" w:rsidR="001A0D7F" w:rsidRDefault="001A0D7F" w:rsidP="00270473">
      <w:pPr>
        <w:pStyle w:val="Heading2"/>
      </w:pPr>
      <w:bookmarkStart w:id="70" w:name="_Toc68532163"/>
      <w:r>
        <w:t>Trust Account</w:t>
      </w:r>
      <w:r w:rsidR="00184C9F">
        <w:rPr>
          <w:rStyle w:val="FootnoteReference"/>
        </w:rPr>
        <w:footnoteReference w:id="7"/>
      </w:r>
      <w:bookmarkEnd w:id="70"/>
    </w:p>
    <w:p w14:paraId="626D75FF" w14:textId="77777777" w:rsidR="001A0D7F" w:rsidRPr="00582C7B" w:rsidRDefault="001A0D7F" w:rsidP="001A0D7F">
      <w:pPr>
        <w:spacing w:after="120"/>
        <w:rPr>
          <w:u w:val="single"/>
        </w:rPr>
      </w:pPr>
      <w:r>
        <w:rPr>
          <w:u w:val="single"/>
        </w:rPr>
        <w:t>Dimension Purpose and Usage</w:t>
      </w:r>
    </w:p>
    <w:p w14:paraId="1C549D8B" w14:textId="64CC612F" w:rsidR="001A0D7F" w:rsidRPr="001043D6" w:rsidRDefault="001A0D7F" w:rsidP="004C6679">
      <w:pPr>
        <w:spacing w:after="120"/>
        <w:ind w:left="3456" w:hanging="3456"/>
        <w:rPr>
          <w:i/>
        </w:rPr>
      </w:pPr>
      <w:r>
        <w:t>Purpose Definition</w:t>
      </w:r>
      <w:r>
        <w:tab/>
      </w:r>
      <w:r w:rsidRPr="00C367A3">
        <w:rPr>
          <w:i/>
        </w:rPr>
        <w:t xml:space="preserve">Used </w:t>
      </w:r>
      <w:r w:rsidR="004C6679" w:rsidRPr="004C6679">
        <w:rPr>
          <w:i/>
        </w:rPr>
        <w:t xml:space="preserve">to record assets held in trust </w:t>
      </w:r>
      <w:r w:rsidR="00AC7119">
        <w:rPr>
          <w:i/>
        </w:rPr>
        <w:t xml:space="preserve">or in a custodial capacity </w:t>
      </w:r>
      <w:r w:rsidR="004C6679" w:rsidRPr="004C6679">
        <w:rPr>
          <w:i/>
        </w:rPr>
        <w:t>by an agency to allow them to manage and distribute trustee fund balances.</w:t>
      </w:r>
    </w:p>
    <w:p w14:paraId="752C922B" w14:textId="7DD6D123" w:rsidR="001A0D7F" w:rsidRDefault="001A0D7F" w:rsidP="001A0D7F">
      <w:pPr>
        <w:spacing w:after="120"/>
        <w:ind w:left="3456" w:hanging="3456"/>
      </w:pPr>
      <w:r w:rsidRPr="00604489">
        <w:t>Purpose Rationale</w:t>
      </w:r>
      <w:r w:rsidRPr="00604489">
        <w:tab/>
      </w:r>
      <w:proofErr w:type="gramStart"/>
      <w:r w:rsidRPr="00604489">
        <w:t>The</w:t>
      </w:r>
      <w:proofErr w:type="gramEnd"/>
      <w:r w:rsidRPr="00604489">
        <w:t xml:space="preserve"> </w:t>
      </w:r>
      <w:r w:rsidR="007133CA">
        <w:t>Trust Account</w:t>
      </w:r>
      <w:r w:rsidRPr="00604489">
        <w:t xml:space="preserve"> dimension </w:t>
      </w:r>
      <w:r w:rsidR="007133CA">
        <w:t xml:space="preserve">is an interim solution to manage </w:t>
      </w:r>
      <w:r w:rsidR="001043D6">
        <w:t>asset</w:t>
      </w:r>
      <w:r w:rsidR="007133CA">
        <w:t xml:space="preserve"> balances</w:t>
      </w:r>
      <w:r>
        <w:t xml:space="preserve"> </w:t>
      </w:r>
      <w:r w:rsidR="007133CA">
        <w:t xml:space="preserve">held in </w:t>
      </w:r>
      <w:r w:rsidR="001043D6">
        <w:t xml:space="preserve">individual </w:t>
      </w:r>
      <w:r w:rsidR="007133CA">
        <w:t>trust</w:t>
      </w:r>
      <w:r w:rsidR="001043D6">
        <w:t xml:space="preserve"> accounts</w:t>
      </w:r>
      <w:r w:rsidR="007133CA">
        <w:t>.</w:t>
      </w:r>
      <w:r w:rsidR="003F14EE">
        <w:t xml:space="preserve"> The future disposition of this dimension will depend on development of the long-term solution.</w:t>
      </w:r>
    </w:p>
    <w:p w14:paraId="49F0700F" w14:textId="77777777" w:rsidR="001A0D7F" w:rsidRPr="00145CC7" w:rsidRDefault="001A0D7F" w:rsidP="001A0D7F">
      <w:pPr>
        <w:spacing w:after="120"/>
        <w:rPr>
          <w:u w:val="single"/>
        </w:rPr>
      </w:pPr>
      <w:r>
        <w:rPr>
          <w:u w:val="single"/>
        </w:rPr>
        <w:t xml:space="preserve">Dimension </w:t>
      </w:r>
      <w:r w:rsidRPr="00145CC7">
        <w:rPr>
          <w:u w:val="single"/>
        </w:rPr>
        <w:t>Format</w:t>
      </w:r>
    </w:p>
    <w:p w14:paraId="2807D3C8" w14:textId="77777777" w:rsidR="001A0D7F" w:rsidRDefault="001A0D7F" w:rsidP="001A0D7F">
      <w:pPr>
        <w:spacing w:after="120"/>
      </w:pPr>
      <w:r>
        <w:t>Format Definitions</w:t>
      </w:r>
    </w:p>
    <w:p w14:paraId="4F545B73" w14:textId="60B01BBB" w:rsidR="001A0D7F" w:rsidRPr="00582C7B" w:rsidRDefault="001A0D7F" w:rsidP="001A0D7F">
      <w:pPr>
        <w:spacing w:after="120"/>
        <w:ind w:left="576" w:firstLine="576"/>
      </w:pPr>
      <w:r w:rsidRPr="001A7846">
        <w:t>Keying Order</w:t>
      </w:r>
      <w:r w:rsidRPr="001A7846">
        <w:tab/>
      </w:r>
      <w:r>
        <w:t xml:space="preserve">          </w:t>
      </w:r>
      <w:r w:rsidRPr="001A7846">
        <w:t xml:space="preserve">Placed </w:t>
      </w:r>
      <w:r w:rsidR="00846D64">
        <w:t>tenth</w:t>
      </w:r>
      <w:r w:rsidRPr="001A7846">
        <w:t xml:space="preserve"> in Dimension order.</w:t>
      </w:r>
    </w:p>
    <w:p w14:paraId="724522AA" w14:textId="27F1EDFF" w:rsidR="001A0D7F" w:rsidRPr="00582C7B" w:rsidRDefault="001A0D7F" w:rsidP="001A0D7F">
      <w:pPr>
        <w:spacing w:after="120"/>
        <w:ind w:left="3447" w:hanging="2295"/>
      </w:pPr>
      <w:r w:rsidRPr="001A7846">
        <w:t xml:space="preserve">Summary Level 1  </w:t>
      </w:r>
      <w:r w:rsidRPr="001A7846">
        <w:tab/>
      </w:r>
      <w:r w:rsidR="0049579D" w:rsidRPr="001043D6">
        <w:rPr>
          <w:b/>
        </w:rPr>
        <w:t>Trust Account</w:t>
      </w:r>
      <w:r w:rsidR="0049579D" w:rsidRPr="00AE0D29">
        <w:rPr>
          <w:b/>
        </w:rPr>
        <w:t xml:space="preserve"> Level 1</w:t>
      </w:r>
      <w:r w:rsidR="0049579D">
        <w:t xml:space="preserve">. Required if agency manages trust accounts within Luma. </w:t>
      </w:r>
      <w:r w:rsidR="0049579D" w:rsidRPr="00CC1ED1">
        <w:t xml:space="preserve">The highest summary level within the </w:t>
      </w:r>
      <w:r w:rsidR="0049579D">
        <w:t>Trust Account</w:t>
      </w:r>
      <w:r w:rsidR="0049579D" w:rsidRPr="00CC1ED1">
        <w:t xml:space="preserve"> dimension</w:t>
      </w:r>
      <w:r w:rsidR="0049579D">
        <w:t>. Agency level. Centrally-managed.</w:t>
      </w:r>
    </w:p>
    <w:p w14:paraId="614FD66E" w14:textId="582F7615" w:rsidR="001A0D7F" w:rsidRPr="00582C7B" w:rsidRDefault="001A0D7F" w:rsidP="001A0D7F">
      <w:pPr>
        <w:spacing w:after="120"/>
        <w:ind w:left="3447" w:hanging="2295"/>
      </w:pPr>
      <w:r w:rsidRPr="005F4018">
        <w:t>Summary Level 2</w:t>
      </w:r>
      <w:r w:rsidR="00846D64">
        <w:t>+</w:t>
      </w:r>
      <w:r w:rsidRPr="005F4018">
        <w:tab/>
      </w:r>
      <w:r w:rsidR="0049579D">
        <w:rPr>
          <w:b/>
        </w:rPr>
        <w:t>Trust Account</w:t>
      </w:r>
      <w:r w:rsidR="0049579D" w:rsidRPr="00AE0D29">
        <w:rPr>
          <w:b/>
        </w:rPr>
        <w:t xml:space="preserve"> Level </w:t>
      </w:r>
      <w:r w:rsidR="0049579D">
        <w:rPr>
          <w:b/>
        </w:rPr>
        <w:t>2+</w:t>
      </w:r>
      <w:r w:rsidR="0049579D">
        <w:t xml:space="preserve">. Optional. </w:t>
      </w:r>
      <w:r w:rsidR="0049579D" w:rsidRPr="00CC1ED1">
        <w:t xml:space="preserve">The </w:t>
      </w:r>
      <w:r w:rsidR="0049579D">
        <w:t>second highest</w:t>
      </w:r>
      <w:r w:rsidR="0049579D" w:rsidRPr="00CC1ED1">
        <w:t xml:space="preserve"> summary level within the </w:t>
      </w:r>
      <w:r w:rsidR="0049579D">
        <w:t>Trust Account</w:t>
      </w:r>
      <w:r w:rsidR="0049579D" w:rsidRPr="00CC1ED1">
        <w:t xml:space="preserve"> dimension</w:t>
      </w:r>
      <w:r w:rsidR="0049579D">
        <w:t>. Agencies may create summary levels to facilitate operational and reporting needs.</w:t>
      </w:r>
      <w:r w:rsidR="0049579D" w:rsidDel="0049579D">
        <w:rPr>
          <w:b/>
        </w:rPr>
        <w:t xml:space="preserve"> </w:t>
      </w:r>
    </w:p>
    <w:p w14:paraId="4EE231C5" w14:textId="2FD1FA3E" w:rsidR="001A0D7F" w:rsidRPr="00EC36C2" w:rsidRDefault="001A0D7F" w:rsidP="001A0D7F">
      <w:pPr>
        <w:spacing w:after="120"/>
        <w:ind w:left="3447" w:hanging="2295"/>
      </w:pPr>
      <w:r w:rsidRPr="00EC36C2">
        <w:t>Posting Level</w:t>
      </w:r>
      <w:r w:rsidRPr="00EC36C2">
        <w:tab/>
      </w:r>
      <w:r w:rsidR="0049579D" w:rsidRPr="00E71919">
        <w:t>Lowest level of hierarchy</w:t>
      </w:r>
      <w:r w:rsidR="0049579D">
        <w:t>. P</w:t>
      </w:r>
      <w:r w:rsidR="0049579D" w:rsidRPr="007262CF">
        <w:t xml:space="preserve">osting happens at the lowest level of any hierarchy within </w:t>
      </w:r>
      <w:r w:rsidR="0049579D">
        <w:t>Luma.</w:t>
      </w:r>
    </w:p>
    <w:p w14:paraId="569C3D6A" w14:textId="6C957146" w:rsidR="001A0D7F" w:rsidRPr="00EC36C2" w:rsidRDefault="001A0D7F" w:rsidP="001A0D7F">
      <w:pPr>
        <w:spacing w:after="120"/>
        <w:ind w:left="576" w:firstLine="576"/>
      </w:pPr>
      <w:r w:rsidRPr="00EC36C2">
        <w:t>Number of Levels</w:t>
      </w:r>
      <w:r w:rsidRPr="00EC36C2">
        <w:tab/>
      </w:r>
      <w:r>
        <w:t xml:space="preserve">          There are </w:t>
      </w:r>
      <w:r w:rsidR="00EE2337">
        <w:t>2+</w:t>
      </w:r>
      <w:r>
        <w:t xml:space="preserve"> levels to the </w:t>
      </w:r>
      <w:r w:rsidR="00EE2337">
        <w:t>Trust Account</w:t>
      </w:r>
      <w:r>
        <w:t xml:space="preserve"> dimension</w:t>
      </w:r>
      <w:r w:rsidRPr="00160F00">
        <w:t>.</w:t>
      </w:r>
    </w:p>
    <w:p w14:paraId="42ECE619" w14:textId="77777777" w:rsidR="001A0D7F" w:rsidRPr="00582C7B" w:rsidRDefault="001A0D7F" w:rsidP="001A0D7F">
      <w:pPr>
        <w:spacing w:after="120"/>
        <w:ind w:left="576" w:firstLine="576"/>
      </w:pPr>
      <w:r w:rsidRPr="00EC36C2">
        <w:t>Number of Children</w:t>
      </w:r>
      <w:r>
        <w:t xml:space="preserve">          </w:t>
      </w:r>
      <w:r w:rsidRPr="00EC36C2">
        <w:t>Unlimited. Determined by agency based on set-up needs.</w:t>
      </w:r>
    </w:p>
    <w:p w14:paraId="154417B7" w14:textId="299D62B2" w:rsidR="001A0D7F" w:rsidRPr="00582C7B" w:rsidRDefault="001A0D7F" w:rsidP="001A0D7F">
      <w:pPr>
        <w:spacing w:after="120"/>
        <w:ind w:left="3447" w:hanging="2295"/>
      </w:pPr>
      <w:r w:rsidRPr="005E4217">
        <w:t>Field Length Min</w:t>
      </w:r>
      <w:r w:rsidRPr="005E4217">
        <w:tab/>
        <w:t xml:space="preserve">Minimum </w:t>
      </w:r>
      <w:r w:rsidR="00D522C5">
        <w:t>3</w:t>
      </w:r>
      <w:r w:rsidRPr="005E4217">
        <w:t xml:space="preserve"> character</w:t>
      </w:r>
      <w:r w:rsidR="006D3CDB">
        <w:t>s</w:t>
      </w:r>
      <w:r w:rsidR="00310FE6">
        <w:t xml:space="preserve">: </w:t>
      </w:r>
      <w:r w:rsidR="001D5112" w:rsidRPr="001D5112">
        <w:t>Agency code (INTEGER, 3)</w:t>
      </w:r>
      <w:r w:rsidR="00D522C5">
        <w:t>. Centrally-managed.</w:t>
      </w:r>
    </w:p>
    <w:p w14:paraId="704E77A8" w14:textId="7197C82E" w:rsidR="001A0D7F" w:rsidRPr="00582C7B" w:rsidRDefault="001A0D7F" w:rsidP="001A0D7F">
      <w:pPr>
        <w:spacing w:after="120"/>
        <w:ind w:left="3447" w:hanging="2295"/>
      </w:pPr>
      <w:r w:rsidRPr="00DC51F9">
        <w:t>Field Length Max</w:t>
      </w:r>
      <w:r w:rsidRPr="00DC51F9">
        <w:tab/>
      </w:r>
      <w:r w:rsidR="00D522C5" w:rsidRPr="005E4217">
        <w:t>M</w:t>
      </w:r>
      <w:r w:rsidR="00D522C5">
        <w:t>axi</w:t>
      </w:r>
      <w:r w:rsidR="00D522C5" w:rsidRPr="005E4217">
        <w:t xml:space="preserve">mum </w:t>
      </w:r>
      <w:r w:rsidR="00D522C5">
        <w:t>15</w:t>
      </w:r>
      <w:r w:rsidR="00D522C5" w:rsidRPr="005E4217">
        <w:t xml:space="preserve"> character</w:t>
      </w:r>
      <w:r w:rsidR="00D522C5">
        <w:t xml:space="preserve">s: </w:t>
      </w:r>
      <w:r w:rsidR="00D522C5" w:rsidRPr="001D5112">
        <w:t>Agency code (INTEGER, 3) plus (ALPHANUMERIC, 12). Determined by agency based on set-up needs.</w:t>
      </w:r>
      <w:r>
        <w:t xml:space="preserve"> </w:t>
      </w:r>
    </w:p>
    <w:p w14:paraId="0D51605F" w14:textId="77777777" w:rsidR="001A0D7F" w:rsidRPr="006361E6" w:rsidRDefault="001A0D7F" w:rsidP="001A0D7F">
      <w:pPr>
        <w:spacing w:after="120"/>
      </w:pPr>
      <w:r w:rsidRPr="006361E6">
        <w:t xml:space="preserve">Format Rationale  </w:t>
      </w:r>
    </w:p>
    <w:p w14:paraId="05EAC534" w14:textId="6BB11615" w:rsidR="001A0D7F" w:rsidRPr="00582C7B" w:rsidRDefault="001A0D7F" w:rsidP="001A0D7F">
      <w:pPr>
        <w:spacing w:after="120"/>
        <w:ind w:left="3447" w:hanging="2295"/>
      </w:pPr>
      <w:r w:rsidRPr="006361E6">
        <w:t>Keying Order</w:t>
      </w:r>
      <w:r w:rsidRPr="006361E6">
        <w:tab/>
      </w:r>
      <w:proofErr w:type="gramStart"/>
      <w:r w:rsidR="006B47F5">
        <w:t>Th</w:t>
      </w:r>
      <w:r w:rsidR="004E27B9">
        <w:t>e</w:t>
      </w:r>
      <w:proofErr w:type="gramEnd"/>
      <w:r w:rsidR="006B47F5">
        <w:t xml:space="preserve"> </w:t>
      </w:r>
      <w:r w:rsidR="004E27B9">
        <w:t xml:space="preserve">Trust Account Dimension </w:t>
      </w:r>
      <w:r w:rsidR="006B47F5">
        <w:t xml:space="preserve">was placed </w:t>
      </w:r>
      <w:r w:rsidR="0049579D">
        <w:t>at the end of the series of</w:t>
      </w:r>
      <w:r w:rsidR="006B47F5">
        <w:t xml:space="preserve"> dimension values that could be potentially hand keyed</w:t>
      </w:r>
      <w:r w:rsidR="00FC7684">
        <w:t xml:space="preserve"> by an agency</w:t>
      </w:r>
      <w:r w:rsidR="006B47F5">
        <w:t>. Use of this dimension will be limited to a small number of agencies.</w:t>
      </w:r>
    </w:p>
    <w:p w14:paraId="1A9C0135" w14:textId="5F5ABFE9" w:rsidR="001A0D7F" w:rsidRPr="000040D8" w:rsidRDefault="001A0D7F" w:rsidP="001A0D7F">
      <w:pPr>
        <w:spacing w:after="120"/>
        <w:ind w:left="3447" w:hanging="2295"/>
      </w:pPr>
      <w:r w:rsidRPr="000040D8">
        <w:t xml:space="preserve">Summary Level 1  </w:t>
      </w:r>
      <w:r w:rsidRPr="000040D8">
        <w:tab/>
      </w:r>
      <w:r w:rsidR="0049579D" w:rsidRPr="001043D6">
        <w:t>Agency</w:t>
      </w:r>
      <w:r w:rsidR="0049579D">
        <w:t xml:space="preserve"> level. Centrally-managed summary level but agencies control the description.</w:t>
      </w:r>
    </w:p>
    <w:p w14:paraId="17110B3C" w14:textId="6D0A0CDB" w:rsidR="001A0D7F" w:rsidRPr="00582C7B" w:rsidRDefault="001A0D7F" w:rsidP="001A0D7F">
      <w:pPr>
        <w:spacing w:after="120"/>
        <w:ind w:left="3447" w:hanging="2295"/>
      </w:pPr>
      <w:r w:rsidRPr="000040D8">
        <w:lastRenderedPageBreak/>
        <w:t>Summary Level 2</w:t>
      </w:r>
      <w:r w:rsidR="006B47F5">
        <w:t>+</w:t>
      </w:r>
      <w:r w:rsidRPr="000040D8">
        <w:tab/>
      </w:r>
      <w:r w:rsidR="00FC7684">
        <w:t>Agencies may create summary levels within the Trust Account dimension to group data and facilitate reporting.</w:t>
      </w:r>
    </w:p>
    <w:p w14:paraId="03E8C7A7" w14:textId="41728745" w:rsidR="001A0D7F" w:rsidRPr="006F0B11" w:rsidRDefault="001A0D7F" w:rsidP="00126B82">
      <w:pPr>
        <w:spacing w:after="120"/>
        <w:ind w:left="3420" w:hanging="2250"/>
      </w:pPr>
      <w:r w:rsidRPr="004136B0">
        <w:t>Posting Level</w:t>
      </w:r>
      <w:r w:rsidRPr="004136B0">
        <w:tab/>
      </w:r>
      <w:r w:rsidR="00FC7684">
        <w:t>Lowest level of the hierarchy.</w:t>
      </w:r>
    </w:p>
    <w:p w14:paraId="144016C1" w14:textId="77777777" w:rsidR="001A0D7F" w:rsidRDefault="001A0D7F" w:rsidP="001A0D7F">
      <w:pPr>
        <w:ind w:left="1170"/>
      </w:pPr>
      <w:r w:rsidRPr="006F0B11">
        <w:t>Number of Levels</w:t>
      </w:r>
      <w:r>
        <w:t>/</w:t>
      </w:r>
    </w:p>
    <w:p w14:paraId="6DAC801E" w14:textId="19B8CA54" w:rsidR="00EF2F86" w:rsidRDefault="001A0D7F" w:rsidP="00126B82">
      <w:pPr>
        <w:spacing w:after="120"/>
        <w:ind w:left="3420" w:hanging="2250"/>
      </w:pPr>
      <w:r w:rsidRPr="006F0B11">
        <w:t>Number of Children</w:t>
      </w:r>
      <w:r>
        <w:t xml:space="preserve">         </w:t>
      </w:r>
      <w:r w:rsidR="00991002" w:rsidRPr="00D30528">
        <w:t xml:space="preserve">Unlimited number of “children” can be created from one “parent” within any level of the </w:t>
      </w:r>
      <w:r w:rsidR="00991002">
        <w:t>Trust Account</w:t>
      </w:r>
      <w:r w:rsidR="00991002" w:rsidRPr="00D30528">
        <w:t xml:space="preserve"> hierarchy</w:t>
      </w:r>
      <w:r w:rsidR="00991002">
        <w:t xml:space="preserve">. The </w:t>
      </w:r>
      <w:r w:rsidR="00991002" w:rsidRPr="00D30528">
        <w:t>ability to add unlimited levels within a hierarchy and to create an unlimited number of children from a parent</w:t>
      </w:r>
      <w:r w:rsidR="00991002">
        <w:t xml:space="preserve"> </w:t>
      </w:r>
      <w:r w:rsidR="00991002" w:rsidRPr="00D30528">
        <w:t xml:space="preserve">provides maximum flexibility to agencies to structure the </w:t>
      </w:r>
      <w:r w:rsidR="00746870">
        <w:t>Trust Account</w:t>
      </w:r>
      <w:r w:rsidR="00991002" w:rsidRPr="00D30528">
        <w:t xml:space="preserve"> dimension as deep and as broad as needed to achieve operational, reporting, and </w:t>
      </w:r>
      <w:r w:rsidR="00991002">
        <w:t>transactional</w:t>
      </w:r>
      <w:r w:rsidR="00991002" w:rsidRPr="00D30528">
        <w:t xml:space="preserve"> needs.</w:t>
      </w:r>
      <w:r w:rsidRPr="006F0B11">
        <w:t xml:space="preserve"> </w:t>
      </w:r>
      <w:r w:rsidR="00EF2F86">
        <w:tab/>
      </w:r>
    </w:p>
    <w:p w14:paraId="0DDFF34B" w14:textId="13C11D41" w:rsidR="000C748E" w:rsidRDefault="001A0D7F" w:rsidP="000C748E">
      <w:pPr>
        <w:spacing w:after="120"/>
        <w:ind w:left="3420" w:hanging="2250"/>
      </w:pPr>
      <w:r w:rsidRPr="00415D88">
        <w:t>Field Length Min</w:t>
      </w:r>
      <w:r w:rsidR="00EF2F86">
        <w:t>/Max</w:t>
      </w:r>
      <w:r w:rsidR="00EF2F86">
        <w:tab/>
      </w:r>
      <w:r w:rsidR="00CE6E74" w:rsidRPr="006E61D6">
        <w:t xml:space="preserve">In order to give agencies maximum flexibility in their numbering conventions for </w:t>
      </w:r>
      <w:r w:rsidR="00CE6E74">
        <w:t xml:space="preserve">their </w:t>
      </w:r>
      <w:r w:rsidR="00CA5E70">
        <w:t>trust accounts</w:t>
      </w:r>
      <w:r w:rsidR="00CE6E74">
        <w:t>,</w:t>
      </w:r>
      <w:r w:rsidR="00CE6E74" w:rsidRPr="006E61D6">
        <w:t xml:space="preserve"> while </w:t>
      </w:r>
      <w:r w:rsidR="00CE6E74">
        <w:t>avoiding</w:t>
      </w:r>
      <w:r w:rsidR="00CE6E74" w:rsidRPr="006E61D6">
        <w:t xml:space="preserve"> the risk of using </w:t>
      </w:r>
      <w:r w:rsidR="00CE6E74">
        <w:t>a trust account code</w:t>
      </w:r>
      <w:r w:rsidR="00CE6E74" w:rsidRPr="006E61D6">
        <w:t xml:space="preserve"> already in use by another agency</w:t>
      </w:r>
      <w:r w:rsidR="00CE6E74">
        <w:t xml:space="preserve">, </w:t>
      </w:r>
      <w:r w:rsidR="00CE6E74" w:rsidRPr="006E61D6">
        <w:t>all codes at all levels in the</w:t>
      </w:r>
      <w:r w:rsidR="00CE6E74">
        <w:t xml:space="preserve"> Trust Account</w:t>
      </w:r>
      <w:r w:rsidR="00CE6E74" w:rsidRPr="006E61D6">
        <w:t xml:space="preserve"> dimension will start with the 3-digit </w:t>
      </w:r>
      <w:r w:rsidR="00CE6E74">
        <w:t>a</w:t>
      </w:r>
      <w:r w:rsidR="00CE6E74" w:rsidRPr="006E61D6">
        <w:t>gency code</w:t>
      </w:r>
      <w:r w:rsidR="00CE6E74">
        <w:t xml:space="preserve">. </w:t>
      </w:r>
    </w:p>
    <w:p w14:paraId="3B245C28" w14:textId="015FA6C6" w:rsidR="000C748E" w:rsidRDefault="000C748E" w:rsidP="000C748E">
      <w:pPr>
        <w:pStyle w:val="Heading2"/>
      </w:pPr>
      <w:bookmarkStart w:id="71" w:name="_Toc68532164"/>
      <w:r>
        <w:t>Funding Source</w:t>
      </w:r>
      <w:bookmarkEnd w:id="71"/>
    </w:p>
    <w:p w14:paraId="2EE4AF93" w14:textId="77777777" w:rsidR="00582C7B" w:rsidRPr="00582C7B" w:rsidRDefault="00582C7B" w:rsidP="00AF3557">
      <w:pPr>
        <w:spacing w:after="120"/>
        <w:rPr>
          <w:u w:val="single"/>
        </w:rPr>
      </w:pPr>
      <w:r>
        <w:rPr>
          <w:u w:val="single"/>
        </w:rPr>
        <w:t>Dimension Purpose and Usage</w:t>
      </w:r>
    </w:p>
    <w:p w14:paraId="16307166" w14:textId="77777777" w:rsidR="00582C7B" w:rsidRPr="00582C7B" w:rsidRDefault="00582C7B" w:rsidP="00AF3557">
      <w:pPr>
        <w:spacing w:after="120"/>
        <w:ind w:left="3456" w:hanging="3456"/>
        <w:rPr>
          <w:i/>
          <w:color w:val="FF0000"/>
        </w:rPr>
      </w:pPr>
      <w:r>
        <w:t>Purpose Definition</w:t>
      </w:r>
      <w:r>
        <w:tab/>
      </w:r>
      <w:r w:rsidRPr="00C367A3">
        <w:rPr>
          <w:i/>
        </w:rPr>
        <w:t xml:space="preserve">Used in conjunction with the Project </w:t>
      </w:r>
      <w:r>
        <w:rPr>
          <w:i/>
        </w:rPr>
        <w:t>d</w:t>
      </w:r>
      <w:r w:rsidRPr="00C367A3">
        <w:rPr>
          <w:i/>
        </w:rPr>
        <w:t>imension to indicate the source of the money used to fund a project</w:t>
      </w:r>
      <w:r w:rsidR="00AD3039">
        <w:rPr>
          <w:i/>
        </w:rPr>
        <w:t xml:space="preserve">. </w:t>
      </w:r>
      <w:r w:rsidRPr="00C367A3">
        <w:rPr>
          <w:i/>
        </w:rPr>
        <w:t xml:space="preserve">This could include </w:t>
      </w:r>
      <w:r>
        <w:rPr>
          <w:i/>
        </w:rPr>
        <w:t>f</w:t>
      </w:r>
      <w:r w:rsidRPr="00C367A3">
        <w:rPr>
          <w:i/>
        </w:rPr>
        <w:t xml:space="preserve">ederal, </w:t>
      </w:r>
      <w:r>
        <w:rPr>
          <w:i/>
        </w:rPr>
        <w:t>s</w:t>
      </w:r>
      <w:r w:rsidRPr="00C367A3">
        <w:rPr>
          <w:i/>
        </w:rPr>
        <w:t xml:space="preserve">tate, </w:t>
      </w:r>
      <w:r>
        <w:rPr>
          <w:i/>
        </w:rPr>
        <w:t>l</w:t>
      </w:r>
      <w:r w:rsidRPr="00C367A3">
        <w:rPr>
          <w:i/>
        </w:rPr>
        <w:t xml:space="preserve">ocal </w:t>
      </w:r>
      <w:r>
        <w:rPr>
          <w:i/>
        </w:rPr>
        <w:t>g</w:t>
      </w:r>
      <w:r w:rsidRPr="00C367A3">
        <w:rPr>
          <w:i/>
        </w:rPr>
        <w:t>rants, outside entities billed for a service or project, private grants, etc.</w:t>
      </w:r>
    </w:p>
    <w:p w14:paraId="5B7B051C" w14:textId="60A8018F" w:rsidR="00582C7B" w:rsidRDefault="00582C7B" w:rsidP="00AF3557">
      <w:pPr>
        <w:spacing w:after="120"/>
        <w:ind w:left="3456" w:hanging="3456"/>
      </w:pPr>
      <w:r w:rsidRPr="00604489">
        <w:t>Purpose Rationale</w:t>
      </w:r>
      <w:r w:rsidRPr="00604489">
        <w:tab/>
      </w:r>
      <w:proofErr w:type="gramStart"/>
      <w:r w:rsidRPr="00604489">
        <w:t>The</w:t>
      </w:r>
      <w:proofErr w:type="gramEnd"/>
      <w:r w:rsidRPr="00604489">
        <w:t xml:space="preserve"> Funding Source dimension provides agencies with the ability to connect a project to its </w:t>
      </w:r>
      <w:r>
        <w:t>associated</w:t>
      </w:r>
      <w:r w:rsidRPr="00604489">
        <w:t xml:space="preserve"> source of funding. This allows agencies to </w:t>
      </w:r>
      <w:r w:rsidR="00CB7C3E">
        <w:t xml:space="preserve">produce invoices for billing purposes and to </w:t>
      </w:r>
      <w:r w:rsidRPr="00604489">
        <w:t>summarize transactional data by funding source in order to meet reporting requirements.</w:t>
      </w:r>
      <w:r w:rsidR="00CA5E70">
        <w:t xml:space="preserve">  Use of the Funding Source dimension triggers additional functionality in the system to produce the underlying accounting transactions associated with the billing and receipting of funds in association with a project.</w:t>
      </w:r>
    </w:p>
    <w:p w14:paraId="197FDFB6" w14:textId="77777777" w:rsidR="00582C7B" w:rsidRPr="00145CC7" w:rsidRDefault="00582C7B" w:rsidP="00AF3557">
      <w:pPr>
        <w:spacing w:after="120"/>
        <w:rPr>
          <w:u w:val="single"/>
        </w:rPr>
      </w:pPr>
      <w:r>
        <w:rPr>
          <w:u w:val="single"/>
        </w:rPr>
        <w:t xml:space="preserve">Dimension </w:t>
      </w:r>
      <w:r w:rsidRPr="00145CC7">
        <w:rPr>
          <w:u w:val="single"/>
        </w:rPr>
        <w:t>Format</w:t>
      </w:r>
    </w:p>
    <w:p w14:paraId="59B6091B" w14:textId="77777777" w:rsidR="00582C7B" w:rsidRDefault="00582C7B" w:rsidP="00AF3557">
      <w:pPr>
        <w:spacing w:after="120"/>
      </w:pPr>
      <w:r>
        <w:t>Format Definitions</w:t>
      </w:r>
    </w:p>
    <w:p w14:paraId="37882F4B" w14:textId="36B9D2C4" w:rsidR="00582C7B" w:rsidRDefault="00582C7B" w:rsidP="00AF3557">
      <w:pPr>
        <w:spacing w:after="120"/>
        <w:ind w:left="576" w:firstLine="576"/>
      </w:pPr>
      <w:r w:rsidRPr="001A7846">
        <w:t>Keying Order</w:t>
      </w:r>
      <w:r w:rsidRPr="001A7846">
        <w:tab/>
      </w:r>
      <w:r>
        <w:t xml:space="preserve">          </w:t>
      </w:r>
      <w:r w:rsidRPr="001A7846">
        <w:t xml:space="preserve">Placed </w:t>
      </w:r>
      <w:r w:rsidR="00C958E8">
        <w:t>eleventh</w:t>
      </w:r>
      <w:r w:rsidRPr="001A7846">
        <w:t xml:space="preserve"> in Dimension order.</w:t>
      </w:r>
    </w:p>
    <w:p w14:paraId="6A16226D" w14:textId="77777777" w:rsidR="00DF6D02" w:rsidRDefault="00A93452" w:rsidP="00187FF3">
      <w:pPr>
        <w:spacing w:after="120"/>
        <w:ind w:left="3447" w:hanging="2295"/>
      </w:pPr>
      <w:r w:rsidRPr="001A7846">
        <w:t xml:space="preserve">Summary Level 1  </w:t>
      </w:r>
      <w:r w:rsidRPr="001A7846">
        <w:tab/>
      </w:r>
      <w:r w:rsidR="00CA5E70">
        <w:rPr>
          <w:b/>
        </w:rPr>
        <w:t>Funding Source</w:t>
      </w:r>
      <w:r w:rsidR="00CA5E70" w:rsidRPr="00AE0D29">
        <w:rPr>
          <w:b/>
        </w:rPr>
        <w:t xml:space="preserve"> Level 1</w:t>
      </w:r>
      <w:r w:rsidR="00CA5E70">
        <w:t xml:space="preserve">. Required. </w:t>
      </w:r>
      <w:r w:rsidR="00CA5E70" w:rsidRPr="00CC1ED1">
        <w:t xml:space="preserve">The highest summary level within the </w:t>
      </w:r>
      <w:r w:rsidR="00CA5E70">
        <w:t>Funding Source</w:t>
      </w:r>
      <w:r w:rsidR="00CA5E70" w:rsidRPr="00CC1ED1">
        <w:t xml:space="preserve"> dimension</w:t>
      </w:r>
      <w:r w:rsidR="00CA5E70">
        <w:t>. Agency level. Centrally-managed.</w:t>
      </w:r>
      <w:r w:rsidR="001043D6">
        <w:t xml:space="preserve"> </w:t>
      </w:r>
    </w:p>
    <w:p w14:paraId="7E8B2BF4" w14:textId="6E33AE60" w:rsidR="00582C7B" w:rsidRPr="00582C7B" w:rsidRDefault="00582C7B" w:rsidP="00187FF3">
      <w:pPr>
        <w:spacing w:after="120"/>
        <w:ind w:left="3447" w:hanging="2295"/>
      </w:pPr>
      <w:r w:rsidRPr="001A7846">
        <w:t xml:space="preserve">Summary Level </w:t>
      </w:r>
      <w:r w:rsidR="00A93452">
        <w:t>2</w:t>
      </w:r>
      <w:r w:rsidR="005E49D8">
        <w:t>+</w:t>
      </w:r>
      <w:r w:rsidRPr="001A7846">
        <w:t xml:space="preserve"> </w:t>
      </w:r>
      <w:r w:rsidR="00DF6D02">
        <w:tab/>
      </w:r>
      <w:r w:rsidR="00D800C0">
        <w:rPr>
          <w:b/>
        </w:rPr>
        <w:t>Funding Source</w:t>
      </w:r>
      <w:r w:rsidR="00D800C0" w:rsidRPr="00AE0D29">
        <w:rPr>
          <w:b/>
        </w:rPr>
        <w:t xml:space="preserve"> Level </w:t>
      </w:r>
      <w:r w:rsidR="00D800C0">
        <w:rPr>
          <w:b/>
        </w:rPr>
        <w:t>2+</w:t>
      </w:r>
      <w:r w:rsidR="00D800C0">
        <w:t xml:space="preserve">. Optional. </w:t>
      </w:r>
      <w:r w:rsidR="00D800C0" w:rsidRPr="00CC1ED1">
        <w:t xml:space="preserve">The </w:t>
      </w:r>
      <w:r w:rsidR="00D800C0">
        <w:t>second highest</w:t>
      </w:r>
      <w:r w:rsidR="00D800C0" w:rsidRPr="00CC1ED1">
        <w:t xml:space="preserve"> summary level within the </w:t>
      </w:r>
      <w:r w:rsidR="002A736C">
        <w:t>Funding Source</w:t>
      </w:r>
      <w:r w:rsidR="00D800C0" w:rsidRPr="00CC1ED1">
        <w:t xml:space="preserve"> dimension</w:t>
      </w:r>
      <w:r w:rsidR="00D800C0">
        <w:t>. Agencies may create summary levels to facilitate operational and reporting needs.</w:t>
      </w:r>
    </w:p>
    <w:p w14:paraId="08752D7E" w14:textId="0338C9AA" w:rsidR="00582C7B" w:rsidRPr="00EC36C2" w:rsidRDefault="00582C7B" w:rsidP="00AF3557">
      <w:pPr>
        <w:spacing w:after="120"/>
        <w:ind w:left="3447" w:hanging="2295"/>
      </w:pPr>
      <w:r w:rsidRPr="00EC36C2">
        <w:t>Posting Level</w:t>
      </w:r>
      <w:r w:rsidRPr="00EC36C2">
        <w:tab/>
      </w:r>
      <w:r w:rsidR="005B084E" w:rsidRPr="00E71919">
        <w:t>Lowest level of hierarchy</w:t>
      </w:r>
      <w:r w:rsidR="005B084E">
        <w:t>. P</w:t>
      </w:r>
      <w:r w:rsidR="005B084E" w:rsidRPr="007262CF">
        <w:t xml:space="preserve">osting happens at the lowest level of any hierarchy within </w:t>
      </w:r>
      <w:r w:rsidR="005B084E">
        <w:t xml:space="preserve">Luma. </w:t>
      </w:r>
    </w:p>
    <w:p w14:paraId="125EF2F9" w14:textId="00D49918" w:rsidR="00582C7B" w:rsidRPr="00EC36C2" w:rsidRDefault="00582C7B" w:rsidP="00AF3557">
      <w:pPr>
        <w:spacing w:after="120"/>
        <w:ind w:left="576" w:firstLine="576"/>
      </w:pPr>
      <w:r w:rsidRPr="00EC36C2">
        <w:t>Number of Levels</w:t>
      </w:r>
      <w:r w:rsidRPr="00EC36C2">
        <w:tab/>
      </w:r>
      <w:r>
        <w:t xml:space="preserve">          </w:t>
      </w:r>
      <w:r w:rsidR="005B692A" w:rsidRPr="00E71919">
        <w:t>Unlimited</w:t>
      </w:r>
      <w:r w:rsidR="005B692A">
        <w:t>. To be d</w:t>
      </w:r>
      <w:r w:rsidR="005B692A" w:rsidRPr="00E71919">
        <w:t xml:space="preserve">etermined </w:t>
      </w:r>
      <w:r w:rsidR="005B692A">
        <w:t xml:space="preserve">at the agency level </w:t>
      </w:r>
      <w:r w:rsidR="005B692A" w:rsidRPr="00E71919">
        <w:t xml:space="preserve">based </w:t>
      </w:r>
      <w:r w:rsidR="005B692A">
        <w:t>on needs.</w:t>
      </w:r>
    </w:p>
    <w:p w14:paraId="5F9BF6C6" w14:textId="77777777" w:rsidR="00582C7B" w:rsidRPr="00582C7B" w:rsidRDefault="00582C7B" w:rsidP="00AF3557">
      <w:pPr>
        <w:spacing w:after="120"/>
        <w:ind w:left="576" w:firstLine="576"/>
      </w:pPr>
      <w:r w:rsidRPr="00EC36C2">
        <w:t>Number of Children</w:t>
      </w:r>
      <w:r>
        <w:t xml:space="preserve">          </w:t>
      </w:r>
      <w:r w:rsidRPr="00EC36C2">
        <w:t>Unlimited. Determined by agency based on set-up needs.</w:t>
      </w:r>
    </w:p>
    <w:p w14:paraId="7D56EC3B" w14:textId="62282776" w:rsidR="00582C7B" w:rsidRPr="00582C7B" w:rsidRDefault="00582C7B" w:rsidP="00AF3557">
      <w:pPr>
        <w:spacing w:after="120"/>
        <w:ind w:left="3447" w:hanging="2295"/>
      </w:pPr>
      <w:r w:rsidRPr="005E4217">
        <w:t>Field Length Min</w:t>
      </w:r>
      <w:r w:rsidRPr="005E4217">
        <w:tab/>
      </w:r>
      <w:r w:rsidR="005B692A">
        <w:t>Minimum 3 characters: Agency code (INTEGER, 3)</w:t>
      </w:r>
      <w:r w:rsidR="005B692A">
        <w:rPr>
          <w:rStyle w:val="CommentReference"/>
        </w:rPr>
        <w:t xml:space="preserve">. </w:t>
      </w:r>
      <w:r w:rsidR="00EB6CC9">
        <w:t xml:space="preserve"> </w:t>
      </w:r>
    </w:p>
    <w:p w14:paraId="0AB19FA1" w14:textId="3015A77D" w:rsidR="00582C7B" w:rsidRPr="00582C7B" w:rsidRDefault="00582C7B" w:rsidP="00AF3557">
      <w:pPr>
        <w:spacing w:after="120"/>
        <w:ind w:left="3447" w:hanging="2295"/>
      </w:pPr>
      <w:r w:rsidRPr="00DC51F9">
        <w:lastRenderedPageBreak/>
        <w:t>Field Length Max</w:t>
      </w:r>
      <w:r w:rsidRPr="00DC51F9">
        <w:tab/>
      </w:r>
      <w:r w:rsidR="005B692A">
        <w:t>Maximum 15 characters: Agency code (INTEGER, 3) plus (ALPHANUMERIC, 12). Determined by agency based on set-up needs.</w:t>
      </w:r>
      <w:r w:rsidR="00AD3039">
        <w:t xml:space="preserve"> </w:t>
      </w:r>
    </w:p>
    <w:p w14:paraId="5B459145" w14:textId="77777777" w:rsidR="00582C7B" w:rsidRPr="006361E6" w:rsidRDefault="00582C7B" w:rsidP="00AF3557">
      <w:pPr>
        <w:spacing w:after="120"/>
      </w:pPr>
      <w:r w:rsidRPr="006361E6">
        <w:t xml:space="preserve">Format Rationale  </w:t>
      </w:r>
    </w:p>
    <w:p w14:paraId="16E2DD3C" w14:textId="10559EF2" w:rsidR="00582C7B" w:rsidRDefault="00582C7B" w:rsidP="00AF3557">
      <w:pPr>
        <w:spacing w:after="120"/>
        <w:ind w:left="3447" w:hanging="2295"/>
      </w:pPr>
      <w:r w:rsidRPr="006361E6">
        <w:t>Keying Order</w:t>
      </w:r>
      <w:r w:rsidRPr="006361E6">
        <w:tab/>
      </w:r>
      <w:r>
        <w:t>A funding source will always have one or more projects linked to it</w:t>
      </w:r>
      <w:r w:rsidR="00E27E46">
        <w:t>. This dimension will not be keyed</w:t>
      </w:r>
      <w:r w:rsidR="00E1696F">
        <w:t xml:space="preserve"> but is derived from business rules established in the project contract setup.</w:t>
      </w:r>
      <w:r w:rsidR="00DF6D02">
        <w:t xml:space="preserve">  Since this dimension will never be a keyed value, it was placed after all of the potentially keyed dimensions in the Chart of Accounts dimension order.</w:t>
      </w:r>
    </w:p>
    <w:p w14:paraId="2D4EA167" w14:textId="77777777" w:rsidR="00DF6D02" w:rsidRDefault="000679F5" w:rsidP="00AF3557">
      <w:pPr>
        <w:spacing w:after="120"/>
        <w:ind w:left="3447" w:hanging="2295"/>
      </w:pPr>
      <w:r w:rsidRPr="000040D8">
        <w:t xml:space="preserve">Summary Level 1  </w:t>
      </w:r>
      <w:r w:rsidRPr="000040D8">
        <w:tab/>
      </w:r>
      <w:r w:rsidR="005C38E2" w:rsidRPr="001043D6">
        <w:t>Agency</w:t>
      </w:r>
      <w:r w:rsidR="005C38E2">
        <w:t xml:space="preserve"> level. Centrally-managed summary level but agencies control the description.</w:t>
      </w:r>
      <w:r w:rsidR="005C38E2" w:rsidDel="005C38E2">
        <w:t xml:space="preserve"> </w:t>
      </w:r>
    </w:p>
    <w:p w14:paraId="184E001F" w14:textId="3EAC4D81" w:rsidR="00582C7B" w:rsidRPr="000040D8" w:rsidRDefault="00582C7B" w:rsidP="00AF3557">
      <w:pPr>
        <w:spacing w:after="120"/>
        <w:ind w:left="3447" w:hanging="2295"/>
      </w:pPr>
      <w:r w:rsidRPr="000040D8">
        <w:t xml:space="preserve">Summary Level </w:t>
      </w:r>
      <w:r w:rsidR="000679F5">
        <w:t>2</w:t>
      </w:r>
      <w:r w:rsidR="00E1696F">
        <w:t>+</w:t>
      </w:r>
      <w:r w:rsidRPr="000040D8">
        <w:t xml:space="preserve">  </w:t>
      </w:r>
      <w:r w:rsidRPr="000040D8">
        <w:tab/>
      </w:r>
      <w:r w:rsidR="00DF6D02">
        <w:t xml:space="preserve"> </w:t>
      </w:r>
      <w:r w:rsidR="00DF6D02" w:rsidRPr="00362833">
        <w:t xml:space="preserve">To be determined </w:t>
      </w:r>
      <w:r w:rsidR="00DF6D02">
        <w:t xml:space="preserve">at the </w:t>
      </w:r>
      <w:r w:rsidR="00DF6D02" w:rsidRPr="00E71919">
        <w:t xml:space="preserve">agency </w:t>
      </w:r>
      <w:r w:rsidR="00DF6D02">
        <w:t xml:space="preserve">level </w:t>
      </w:r>
      <w:r w:rsidR="00DF6D02" w:rsidRPr="00E71919">
        <w:t xml:space="preserve">based on </w:t>
      </w:r>
      <w:r w:rsidR="00DF6D02">
        <w:t xml:space="preserve">operational </w:t>
      </w:r>
      <w:r w:rsidR="00DF6D02" w:rsidRPr="00E71919">
        <w:t>need</w:t>
      </w:r>
      <w:r w:rsidR="00DF6D02">
        <w:t>s. S</w:t>
      </w:r>
      <w:r w:rsidR="00DF6D02" w:rsidRPr="00E71919">
        <w:t>ummary level</w:t>
      </w:r>
      <w:r w:rsidR="00DF6D02">
        <w:t>s</w:t>
      </w:r>
      <w:r w:rsidR="00DF6D02" w:rsidRPr="00E71919">
        <w:t xml:space="preserve"> within the </w:t>
      </w:r>
      <w:r w:rsidR="00DF6D02">
        <w:t>Funding Source</w:t>
      </w:r>
      <w:r w:rsidR="00DF6D02" w:rsidRPr="00E71919">
        <w:t xml:space="preserve"> dimension</w:t>
      </w:r>
      <w:r w:rsidR="00DF6D02">
        <w:t xml:space="preserve"> are optional.</w:t>
      </w:r>
    </w:p>
    <w:p w14:paraId="2057FF27" w14:textId="732625FA" w:rsidR="00582C7B" w:rsidRPr="006F0B11" w:rsidRDefault="00582C7B" w:rsidP="00E1696F">
      <w:pPr>
        <w:spacing w:after="120"/>
        <w:ind w:left="3447" w:hanging="2295"/>
      </w:pPr>
      <w:r w:rsidRPr="004136B0">
        <w:t>Posting Level</w:t>
      </w:r>
      <w:r w:rsidRPr="004136B0">
        <w:tab/>
      </w:r>
      <w:r w:rsidR="00E1696F" w:rsidRPr="00E71919">
        <w:t>Lowest level of hierarchy</w:t>
      </w:r>
      <w:r w:rsidR="00E1696F">
        <w:t>. P</w:t>
      </w:r>
      <w:r w:rsidR="00E1696F" w:rsidRPr="007262CF">
        <w:t xml:space="preserve">osting happens at the lowest level of any hierarchy within </w:t>
      </w:r>
      <w:r w:rsidR="00E1696F">
        <w:t>Luma.</w:t>
      </w:r>
      <w:r w:rsidR="005C38E2">
        <w:t xml:space="preserve">  This will be defaulted off of the Project linked to the Funding Source.  This field will never be keyed by an end</w:t>
      </w:r>
      <w:r w:rsidR="00DF6D02">
        <w:t>-</w:t>
      </w:r>
      <w:r w:rsidR="005C38E2">
        <w:t>user.</w:t>
      </w:r>
      <w:r w:rsidR="00E1696F">
        <w:t xml:space="preserve"> </w:t>
      </w:r>
    </w:p>
    <w:p w14:paraId="6AE43EAD" w14:textId="77777777" w:rsidR="00963EE1" w:rsidRDefault="00582C7B" w:rsidP="0010333B">
      <w:pPr>
        <w:ind w:left="1170"/>
      </w:pPr>
      <w:r w:rsidRPr="006F0B11">
        <w:t>Number of Levels</w:t>
      </w:r>
      <w:r w:rsidR="001B758D">
        <w:t>/</w:t>
      </w:r>
    </w:p>
    <w:p w14:paraId="514565F0" w14:textId="02C7350F" w:rsidR="00582C7B" w:rsidRDefault="00963EE1" w:rsidP="00151B50">
      <w:pPr>
        <w:spacing w:after="120"/>
        <w:ind w:left="3420" w:hanging="2250"/>
      </w:pPr>
      <w:r w:rsidRPr="006F0B11">
        <w:t>Number of Children</w:t>
      </w:r>
      <w:r>
        <w:t xml:space="preserve">         </w:t>
      </w:r>
      <w:r w:rsidR="00151B50" w:rsidRPr="00D30528">
        <w:t xml:space="preserve">Unlimited number of “children” can be created from one “parent” within any level of the </w:t>
      </w:r>
      <w:r w:rsidR="00151B50">
        <w:t>Funding Source</w:t>
      </w:r>
      <w:r w:rsidR="00151B50" w:rsidRPr="00D30528">
        <w:t xml:space="preserve"> hierarchy</w:t>
      </w:r>
      <w:r w:rsidR="00151B50">
        <w:t xml:space="preserve">. The </w:t>
      </w:r>
      <w:r w:rsidR="00151B50" w:rsidRPr="00D30528">
        <w:t>ability to add unlimited levels within a hierarchy and to create an unlimited number of children from a parent</w:t>
      </w:r>
      <w:r w:rsidR="00151B50">
        <w:t xml:space="preserve"> </w:t>
      </w:r>
      <w:r w:rsidR="00151B50" w:rsidRPr="00D30528">
        <w:t xml:space="preserve">provides maximum flexibility to agencies to structure the </w:t>
      </w:r>
      <w:r w:rsidR="00151B50">
        <w:t>Funding Source</w:t>
      </w:r>
      <w:r w:rsidR="00151B50" w:rsidRPr="00D30528">
        <w:t xml:space="preserve"> dimension as deep and as broad as needed to achieve operational, reporting, and </w:t>
      </w:r>
      <w:r w:rsidR="00151B50">
        <w:t>transactional</w:t>
      </w:r>
      <w:r w:rsidR="00151B50" w:rsidRPr="00D30528">
        <w:t xml:space="preserve"> needs.</w:t>
      </w:r>
    </w:p>
    <w:p w14:paraId="3304C6C7" w14:textId="77777777" w:rsidR="00151B50" w:rsidRPr="00582C7B" w:rsidRDefault="00151B50" w:rsidP="00151B50">
      <w:pPr>
        <w:spacing w:after="120"/>
        <w:ind w:left="3420" w:hanging="2250"/>
      </w:pPr>
    </w:p>
    <w:p w14:paraId="4C40708F" w14:textId="4977667D" w:rsidR="007F0744" w:rsidRDefault="00582C7B" w:rsidP="00F26BA0">
      <w:pPr>
        <w:spacing w:after="120"/>
        <w:ind w:left="3456" w:hanging="2301"/>
      </w:pPr>
      <w:r w:rsidRPr="00415D88">
        <w:t>Field Length Min/Max</w:t>
      </w:r>
      <w:r w:rsidRPr="00415D88">
        <w:tab/>
        <w:t>In order to give agencies maximum flexibility in their numbering conventions for</w:t>
      </w:r>
      <w:r w:rsidR="00DF6D02">
        <w:t xml:space="preserve"> their</w:t>
      </w:r>
      <w:r w:rsidRPr="00415D88">
        <w:t xml:space="preserve"> funding source</w:t>
      </w:r>
      <w:r w:rsidR="00DF6D02">
        <w:t>s</w:t>
      </w:r>
      <w:r w:rsidR="00284BB9">
        <w:t>,</w:t>
      </w:r>
      <w:r w:rsidRPr="00415D88">
        <w:t xml:space="preserve"> while </w:t>
      </w:r>
      <w:r w:rsidR="00284BB9">
        <w:t>also avoiding</w:t>
      </w:r>
      <w:r w:rsidRPr="00415D88">
        <w:t xml:space="preserve"> the risk of using a </w:t>
      </w:r>
      <w:r w:rsidR="002B1D5B">
        <w:t>Funding Source</w:t>
      </w:r>
      <w:r w:rsidRPr="00415D88">
        <w:t xml:space="preserve"> code already in use by another agency, all codes</w:t>
      </w:r>
      <w:r w:rsidR="00DF6D02" w:rsidRPr="006E61D6">
        <w:t xml:space="preserve"> at all levels in the</w:t>
      </w:r>
      <w:r w:rsidR="00DF6D02">
        <w:t xml:space="preserve"> Funding Source</w:t>
      </w:r>
      <w:r w:rsidR="00DF6D02" w:rsidRPr="006E61D6">
        <w:t xml:space="preserve"> dimension will start with the 3-digit </w:t>
      </w:r>
      <w:r w:rsidR="00DF6D02">
        <w:t>a</w:t>
      </w:r>
      <w:r w:rsidR="00DF6D02" w:rsidRPr="006E61D6">
        <w:t>gency code</w:t>
      </w:r>
      <w:r w:rsidR="00DF6D02">
        <w:t xml:space="preserve">. </w:t>
      </w:r>
    </w:p>
    <w:p w14:paraId="4A6C29AD" w14:textId="670EED94" w:rsidR="007F0744" w:rsidRDefault="007F0744" w:rsidP="00270473">
      <w:pPr>
        <w:pStyle w:val="Heading2"/>
      </w:pPr>
      <w:bookmarkStart w:id="72" w:name="_Toc68532165"/>
      <w:r>
        <w:t>System Interagency</w:t>
      </w:r>
      <w:bookmarkEnd w:id="72"/>
    </w:p>
    <w:p w14:paraId="32879F79" w14:textId="77777777" w:rsidR="007F0744" w:rsidRPr="00582C7B" w:rsidRDefault="007F0744" w:rsidP="007F0744">
      <w:pPr>
        <w:spacing w:after="120"/>
        <w:rPr>
          <w:u w:val="single"/>
        </w:rPr>
      </w:pPr>
      <w:r>
        <w:rPr>
          <w:u w:val="single"/>
        </w:rPr>
        <w:t>Dimension Purpose and Usage</w:t>
      </w:r>
    </w:p>
    <w:p w14:paraId="17FDC5B1" w14:textId="61780CF8" w:rsidR="007F0744" w:rsidRPr="00582C7B" w:rsidRDefault="007F0744" w:rsidP="00126B82">
      <w:pPr>
        <w:spacing w:after="120"/>
        <w:ind w:left="3510" w:hanging="3510"/>
        <w:rPr>
          <w:i/>
          <w:color w:val="FF0000"/>
        </w:rPr>
      </w:pPr>
      <w:r>
        <w:t>Purpose Definition</w:t>
      </w:r>
      <w:r>
        <w:tab/>
      </w:r>
      <w:r w:rsidR="00C42ACC">
        <w:rPr>
          <w:i/>
        </w:rPr>
        <w:t>Allows</w:t>
      </w:r>
      <w:r w:rsidR="00C42ACC" w:rsidRPr="00C42ACC">
        <w:rPr>
          <w:i/>
        </w:rPr>
        <w:t xml:space="preserve"> agencies to trace the source and destination of accounting entries between agencies</w:t>
      </w:r>
      <w:r w:rsidRPr="00C367A3">
        <w:rPr>
          <w:i/>
        </w:rPr>
        <w:t>.</w:t>
      </w:r>
    </w:p>
    <w:p w14:paraId="7D95DDE1" w14:textId="6D232918" w:rsidR="007F0744" w:rsidRDefault="007F0744" w:rsidP="00126B82">
      <w:pPr>
        <w:spacing w:after="120"/>
        <w:ind w:left="3510" w:hanging="3510"/>
      </w:pPr>
      <w:r w:rsidRPr="00604489">
        <w:t>Purpose Rationale</w:t>
      </w:r>
      <w:r w:rsidRPr="00604489">
        <w:tab/>
      </w:r>
      <w:proofErr w:type="gramStart"/>
      <w:r w:rsidRPr="00604489">
        <w:t>The</w:t>
      </w:r>
      <w:proofErr w:type="gramEnd"/>
      <w:r w:rsidRPr="00604489">
        <w:t xml:space="preserve"> </w:t>
      </w:r>
      <w:r w:rsidR="00E54AD8">
        <w:t>System Interagency dimension provides transparency on transactions between two agencies.</w:t>
      </w:r>
      <w:r w:rsidR="005C38E2">
        <w:t xml:space="preserve">  Without this field, agencies would be unable to trace the source of a transaction originating from another agency, unless agency staff had access to the other agency’s data in Luma.</w:t>
      </w:r>
    </w:p>
    <w:p w14:paraId="796E04FC" w14:textId="77777777" w:rsidR="007F0744" w:rsidRPr="00145CC7" w:rsidRDefault="007F0744" w:rsidP="007F0744">
      <w:pPr>
        <w:spacing w:after="120"/>
        <w:rPr>
          <w:u w:val="single"/>
        </w:rPr>
      </w:pPr>
      <w:r>
        <w:rPr>
          <w:u w:val="single"/>
        </w:rPr>
        <w:t xml:space="preserve">Dimension </w:t>
      </w:r>
      <w:r w:rsidRPr="00145CC7">
        <w:rPr>
          <w:u w:val="single"/>
        </w:rPr>
        <w:t>Format</w:t>
      </w:r>
    </w:p>
    <w:p w14:paraId="0CC22851" w14:textId="77777777" w:rsidR="007F0744" w:rsidRDefault="007F0744" w:rsidP="007F0744">
      <w:pPr>
        <w:spacing w:after="120"/>
      </w:pPr>
      <w:r>
        <w:t>Format Definitions</w:t>
      </w:r>
    </w:p>
    <w:p w14:paraId="0F916D24" w14:textId="1AC31F91" w:rsidR="007F0744" w:rsidRPr="00582C7B" w:rsidRDefault="007F0744" w:rsidP="007F0744">
      <w:pPr>
        <w:spacing w:after="120"/>
        <w:ind w:left="576" w:firstLine="576"/>
      </w:pPr>
      <w:r w:rsidRPr="001A7846">
        <w:t>Keying Order</w:t>
      </w:r>
      <w:r w:rsidRPr="001A7846">
        <w:tab/>
      </w:r>
      <w:r>
        <w:t xml:space="preserve">        </w:t>
      </w:r>
      <w:r w:rsidR="000C748E">
        <w:t xml:space="preserve">  </w:t>
      </w:r>
      <w:r>
        <w:t xml:space="preserve"> </w:t>
      </w:r>
      <w:r w:rsidRPr="001A7846">
        <w:t xml:space="preserve">Placed </w:t>
      </w:r>
      <w:r w:rsidR="00E54AD8">
        <w:t>twelfth (last)</w:t>
      </w:r>
      <w:r w:rsidRPr="001A7846">
        <w:t xml:space="preserve"> in Dimension order.</w:t>
      </w:r>
    </w:p>
    <w:p w14:paraId="5914BD04" w14:textId="10E14793" w:rsidR="007F0744" w:rsidRPr="00754BA1" w:rsidRDefault="007F0744" w:rsidP="007F0744">
      <w:pPr>
        <w:spacing w:after="120"/>
        <w:ind w:left="3447" w:hanging="2295"/>
        <w:rPr>
          <w:bCs/>
        </w:rPr>
      </w:pPr>
      <w:r w:rsidRPr="001A7846">
        <w:lastRenderedPageBreak/>
        <w:t xml:space="preserve">Summary Level 1  </w:t>
      </w:r>
      <w:r w:rsidRPr="001A7846">
        <w:tab/>
      </w:r>
      <w:r w:rsidR="000C748E">
        <w:t xml:space="preserve"> </w:t>
      </w:r>
      <w:r w:rsidR="00754BA1">
        <w:rPr>
          <w:bCs/>
        </w:rPr>
        <w:t xml:space="preserve">All agencies – statewide. </w:t>
      </w:r>
      <w:r w:rsidR="00430FA1">
        <w:rPr>
          <w:bCs/>
        </w:rPr>
        <w:t>Required.  Centrally-managed.</w:t>
      </w:r>
    </w:p>
    <w:p w14:paraId="353114A3" w14:textId="19D8DE05" w:rsidR="007F0744" w:rsidRPr="00EC36C2" w:rsidRDefault="007F0744" w:rsidP="00126B82">
      <w:pPr>
        <w:spacing w:after="120"/>
        <w:ind w:left="3510" w:hanging="2340"/>
      </w:pPr>
      <w:r w:rsidRPr="00EC36C2">
        <w:t>Posting Level</w:t>
      </w:r>
      <w:r w:rsidRPr="00EC36C2">
        <w:tab/>
      </w:r>
      <w:r w:rsidR="00430FA1" w:rsidRPr="005E5490">
        <w:rPr>
          <w:b/>
        </w:rPr>
        <w:t>Agency</w:t>
      </w:r>
      <w:r w:rsidR="00430FA1">
        <w:t>. U</w:t>
      </w:r>
      <w:r w:rsidR="00430FA1" w:rsidRPr="00B32FBF">
        <w:t>nique 3</w:t>
      </w:r>
      <w:r w:rsidR="00430FA1">
        <w:t>-</w:t>
      </w:r>
      <w:r w:rsidR="00430FA1" w:rsidRPr="00B32FBF">
        <w:t>digit code used to identify the agency.</w:t>
      </w:r>
      <w:r w:rsidR="00430FA1">
        <w:t xml:space="preserve">  Mirrors </w:t>
      </w:r>
      <w:r w:rsidR="000C748E">
        <w:t xml:space="preserve">         </w:t>
      </w:r>
      <w:r w:rsidR="00430FA1">
        <w:t>the Agency dimension. Required.  Centrally-managed.</w:t>
      </w:r>
    </w:p>
    <w:p w14:paraId="36F19266" w14:textId="7F81D41D" w:rsidR="007F0744" w:rsidRPr="00EC36C2" w:rsidRDefault="007F0744" w:rsidP="007F0744">
      <w:pPr>
        <w:spacing w:after="120"/>
        <w:ind w:left="576" w:firstLine="576"/>
      </w:pPr>
      <w:r w:rsidRPr="00EC36C2">
        <w:t>Number of Levels</w:t>
      </w:r>
      <w:r w:rsidRPr="00EC36C2">
        <w:tab/>
      </w:r>
      <w:r>
        <w:t xml:space="preserve">          </w:t>
      </w:r>
      <w:r w:rsidR="000C748E">
        <w:t xml:space="preserve"> </w:t>
      </w:r>
      <w:r>
        <w:t xml:space="preserve">There are </w:t>
      </w:r>
      <w:r w:rsidR="002C290B">
        <w:t>two</w:t>
      </w:r>
      <w:r>
        <w:t xml:space="preserve"> levels to t</w:t>
      </w:r>
      <w:r w:rsidR="002C290B">
        <w:t>his</w:t>
      </w:r>
      <w:r>
        <w:t xml:space="preserve"> dimension</w:t>
      </w:r>
      <w:r w:rsidRPr="00160F00">
        <w:t>.</w:t>
      </w:r>
    </w:p>
    <w:p w14:paraId="6C8A1D15" w14:textId="1E4568B1" w:rsidR="007F0744" w:rsidRPr="00582C7B" w:rsidRDefault="007F0744" w:rsidP="007F0744">
      <w:pPr>
        <w:spacing w:after="120"/>
        <w:ind w:left="576" w:firstLine="576"/>
      </w:pPr>
      <w:r w:rsidRPr="00EC36C2">
        <w:t>Number of Children</w:t>
      </w:r>
      <w:r>
        <w:t xml:space="preserve">          </w:t>
      </w:r>
      <w:r w:rsidR="002C290B">
        <w:t>Will be equal to the number of agencies.</w:t>
      </w:r>
    </w:p>
    <w:p w14:paraId="098A9A28" w14:textId="53C785A1" w:rsidR="007F0744" w:rsidRPr="00582C7B" w:rsidRDefault="007F0744" w:rsidP="007F0744">
      <w:pPr>
        <w:spacing w:after="120"/>
        <w:ind w:left="3447" w:hanging="2295"/>
      </w:pPr>
      <w:r w:rsidRPr="005E4217">
        <w:t>Field Length Min</w:t>
      </w:r>
      <w:r w:rsidRPr="005E4217">
        <w:tab/>
        <w:t xml:space="preserve">Minimum </w:t>
      </w:r>
      <w:r w:rsidR="002C290B">
        <w:t>3</w:t>
      </w:r>
      <w:r w:rsidRPr="005E4217">
        <w:t xml:space="preserve"> character</w:t>
      </w:r>
      <w:r w:rsidR="002C290B">
        <w:t>s</w:t>
      </w:r>
      <w:r w:rsidRPr="005E4217">
        <w:t xml:space="preserve"> (</w:t>
      </w:r>
      <w:r>
        <w:t>ALPHANUMERIC</w:t>
      </w:r>
      <w:r w:rsidRPr="005E4217">
        <w:t xml:space="preserve">, </w:t>
      </w:r>
      <w:r w:rsidR="002C290B">
        <w:t>3</w:t>
      </w:r>
      <w:r w:rsidRPr="005E4217">
        <w:t>)</w:t>
      </w:r>
      <w:r>
        <w:t xml:space="preserve">. </w:t>
      </w:r>
    </w:p>
    <w:p w14:paraId="254896D2" w14:textId="3D4FBB91" w:rsidR="007F0744" w:rsidRPr="00582C7B" w:rsidRDefault="007F0744" w:rsidP="007F0744">
      <w:pPr>
        <w:spacing w:after="120"/>
        <w:ind w:left="3447" w:hanging="2295"/>
      </w:pPr>
      <w:r w:rsidRPr="00DC51F9">
        <w:t>Field Length Max</w:t>
      </w:r>
      <w:r w:rsidRPr="00DC51F9">
        <w:tab/>
        <w:t xml:space="preserve">Maximum </w:t>
      </w:r>
      <w:r w:rsidR="00112381">
        <w:t>3</w:t>
      </w:r>
      <w:r w:rsidRPr="00DC51F9">
        <w:t xml:space="preserve"> characters</w:t>
      </w:r>
      <w:r>
        <w:t xml:space="preserve"> (ALPHANUMERIC, </w:t>
      </w:r>
      <w:r w:rsidR="00112381">
        <w:t>3</w:t>
      </w:r>
      <w:r w:rsidRPr="00DC51F9">
        <w:t>)</w:t>
      </w:r>
      <w:r>
        <w:t xml:space="preserve">. </w:t>
      </w:r>
    </w:p>
    <w:p w14:paraId="6CCEC928" w14:textId="77777777" w:rsidR="007F0744" w:rsidRPr="006361E6" w:rsidRDefault="007F0744" w:rsidP="007F0744">
      <w:pPr>
        <w:spacing w:after="120"/>
      </w:pPr>
      <w:r w:rsidRPr="006361E6">
        <w:t xml:space="preserve">Format Rationale  </w:t>
      </w:r>
    </w:p>
    <w:p w14:paraId="5407FFB0" w14:textId="78CF3A12" w:rsidR="007F0744" w:rsidRPr="00582C7B" w:rsidRDefault="007F0744" w:rsidP="007F0744">
      <w:pPr>
        <w:spacing w:after="120"/>
        <w:ind w:left="3447" w:hanging="2295"/>
      </w:pPr>
      <w:r w:rsidRPr="006361E6">
        <w:t>Keying Order</w:t>
      </w:r>
      <w:r w:rsidRPr="006361E6">
        <w:tab/>
      </w:r>
      <w:r w:rsidR="00AA3D2E">
        <w:t xml:space="preserve">Placed last </w:t>
      </w:r>
      <w:r w:rsidR="00430FA1">
        <w:t xml:space="preserve">as </w:t>
      </w:r>
      <w:r w:rsidR="00AA3D2E">
        <w:t xml:space="preserve">agencies will </w:t>
      </w:r>
      <w:r w:rsidR="00430FA1">
        <w:t xml:space="preserve">never </w:t>
      </w:r>
      <w:r w:rsidR="00AA3D2E">
        <w:t xml:space="preserve">key </w:t>
      </w:r>
      <w:r w:rsidR="00430FA1">
        <w:t xml:space="preserve">values into </w:t>
      </w:r>
      <w:r w:rsidR="00AA3D2E">
        <w:t>this dimension. System-generated</w:t>
      </w:r>
      <w:r w:rsidRPr="008A0F97">
        <w:t>.</w:t>
      </w:r>
    </w:p>
    <w:p w14:paraId="649C4A0F" w14:textId="4A9EBC64" w:rsidR="007F0744" w:rsidRPr="00582C7B" w:rsidRDefault="007F0744" w:rsidP="001043D6">
      <w:pPr>
        <w:spacing w:after="120"/>
        <w:ind w:left="1152"/>
      </w:pPr>
      <w:r w:rsidRPr="000040D8">
        <w:t>Summary Level 1</w:t>
      </w:r>
      <w:r w:rsidR="00430FA1">
        <w:tab/>
      </w:r>
      <w:r w:rsidR="000C748E">
        <w:t xml:space="preserve">          </w:t>
      </w:r>
      <w:r w:rsidR="005A02BA">
        <w:t>Required summary level</w:t>
      </w:r>
      <w:r>
        <w:t>.</w:t>
      </w:r>
      <w:r w:rsidR="005A02BA">
        <w:t xml:space="preserve"> Centrally-managed.</w:t>
      </w:r>
    </w:p>
    <w:p w14:paraId="48AFC8DE" w14:textId="3C097D29" w:rsidR="007F0744" w:rsidRPr="006F0B11" w:rsidRDefault="007F0744" w:rsidP="007F0744">
      <w:pPr>
        <w:spacing w:after="120"/>
        <w:ind w:left="3447" w:hanging="2295"/>
      </w:pPr>
      <w:r w:rsidRPr="004136B0">
        <w:t>Posting Level</w:t>
      </w:r>
      <w:r w:rsidRPr="004136B0">
        <w:tab/>
      </w:r>
      <w:r w:rsidR="005C38E2">
        <w:t>Using a</w:t>
      </w:r>
      <w:r w:rsidR="005A02BA">
        <w:t>gency number</w:t>
      </w:r>
      <w:r w:rsidR="005C38E2">
        <w:t xml:space="preserve"> provides all state agencies with the ability to easily identify and trace the transaction to the other agency involved in two-sided transactions between agencies.</w:t>
      </w:r>
    </w:p>
    <w:p w14:paraId="1AB9CE82" w14:textId="46AE2371" w:rsidR="007F0744" w:rsidRDefault="007F0744" w:rsidP="007F0744">
      <w:pPr>
        <w:ind w:left="1170"/>
      </w:pPr>
      <w:r w:rsidRPr="006F0B11">
        <w:t>Number of Levels</w:t>
      </w:r>
      <w:r w:rsidR="000C748E">
        <w:t>/</w:t>
      </w:r>
    </w:p>
    <w:p w14:paraId="65340D3E" w14:textId="409CE3B5" w:rsidR="007F0744" w:rsidRPr="00582C7B" w:rsidRDefault="007F0744" w:rsidP="007F0744">
      <w:pPr>
        <w:spacing w:after="120"/>
        <w:ind w:left="3420" w:hanging="2250"/>
      </w:pPr>
      <w:r w:rsidRPr="006F0B11">
        <w:t>Number of Children</w:t>
      </w:r>
      <w:r>
        <w:t xml:space="preserve">         </w:t>
      </w:r>
      <w:r w:rsidR="00531B87">
        <w:t>Two levels</w:t>
      </w:r>
      <w:r w:rsidRPr="006F0B11">
        <w:t>.</w:t>
      </w:r>
      <w:r w:rsidR="00531B87">
        <w:t xml:space="preserve"> Summary and posting levels.</w:t>
      </w:r>
      <w:r w:rsidR="000763E8">
        <w:t xml:space="preserve">  There is no need to build a more complex hierarchy for this dimension.  No reporting or other benefit would be derived.</w:t>
      </w:r>
      <w:r w:rsidRPr="006F0B11">
        <w:t xml:space="preserve"> </w:t>
      </w:r>
    </w:p>
    <w:p w14:paraId="286F266E" w14:textId="5A9B9977" w:rsidR="007F0744" w:rsidRDefault="007F0744" w:rsidP="007F0744">
      <w:pPr>
        <w:spacing w:after="120"/>
        <w:ind w:left="3456" w:hanging="2301"/>
      </w:pPr>
      <w:r w:rsidRPr="00415D88">
        <w:t>Field Length Min/Max</w:t>
      </w:r>
      <w:r w:rsidRPr="00415D88">
        <w:tab/>
      </w:r>
      <w:r w:rsidR="00531B87">
        <w:t>There are 3 digits</w:t>
      </w:r>
      <w:r w:rsidR="000763E8">
        <w:t xml:space="preserve"> in the posting level</w:t>
      </w:r>
      <w:r w:rsidR="00531B87">
        <w:t>; will correspond to agency numbers</w:t>
      </w:r>
      <w:r w:rsidR="000763E8">
        <w:t xml:space="preserve"> for easy and universal identification of agencies involved in the transaction</w:t>
      </w:r>
      <w:r w:rsidR="00531B87">
        <w:t>.</w:t>
      </w:r>
    </w:p>
    <w:p w14:paraId="6E648206" w14:textId="04E26B85" w:rsidR="007F0744" w:rsidRPr="00D328D3" w:rsidRDefault="007F0744" w:rsidP="00D010BD">
      <w:pPr>
        <w:spacing w:after="120"/>
        <w:sectPr w:rsidR="007F0744" w:rsidRPr="00D328D3" w:rsidSect="00D87610">
          <w:headerReference w:type="even" r:id="rId19"/>
          <w:headerReference w:type="default" r:id="rId20"/>
          <w:footerReference w:type="default" r:id="rId21"/>
          <w:headerReference w:type="first" r:id="rId22"/>
          <w:pgSz w:w="12240" w:h="15840" w:code="1"/>
          <w:pgMar w:top="1008" w:right="1440" w:bottom="1008" w:left="1440" w:header="1008" w:footer="1008" w:gutter="0"/>
          <w:pgNumType w:start="4"/>
          <w:cols w:space="720"/>
          <w:docGrid w:linePitch="360"/>
        </w:sectPr>
      </w:pPr>
    </w:p>
    <w:p w14:paraId="20DD1838" w14:textId="05184248" w:rsidR="00FC7F01" w:rsidRDefault="00FC7F01" w:rsidP="00FC7F01">
      <w:pPr>
        <w:pStyle w:val="Heading1"/>
      </w:pPr>
      <w:bookmarkStart w:id="73" w:name="_Toc68532166"/>
      <w:r>
        <w:lastRenderedPageBreak/>
        <w:t>Appendi</w:t>
      </w:r>
      <w:r w:rsidR="00BD7E77">
        <w:t>x</w:t>
      </w:r>
      <w:bookmarkEnd w:id="73"/>
    </w:p>
    <w:p w14:paraId="5CF6CF85" w14:textId="6C4EA1BB" w:rsidR="00270BD5" w:rsidRDefault="00270BD5" w:rsidP="00270473">
      <w:pPr>
        <w:pStyle w:val="Heading2"/>
      </w:pPr>
      <w:bookmarkStart w:id="74" w:name="_Toc68532167"/>
      <w:r>
        <w:t xml:space="preserve">Sample </w:t>
      </w:r>
      <w:proofErr w:type="spellStart"/>
      <w:r w:rsidR="003D2CCC">
        <w:t>Statewide</w:t>
      </w:r>
      <w:proofErr w:type="spellEnd"/>
      <w:r>
        <w:t xml:space="preserve"> Crosswalk</w:t>
      </w:r>
      <w:r w:rsidR="003D2CCC">
        <w:t>s</w:t>
      </w:r>
      <w:bookmarkEnd w:id="74"/>
    </w:p>
    <w:p w14:paraId="7624CE60" w14:textId="483D5E1F" w:rsidR="007B2E4D" w:rsidRDefault="007B2E4D" w:rsidP="00FC7F01">
      <w:pPr>
        <w:pStyle w:val="Bodycopy"/>
        <w:rPr>
          <w:lang w:val="en-GB"/>
        </w:rPr>
      </w:pPr>
      <w:r>
        <w:rPr>
          <w:lang w:val="en-GB"/>
        </w:rPr>
        <w:t>Agency Dimension</w:t>
      </w:r>
    </w:p>
    <w:p w14:paraId="7550A64C" w14:textId="0B327984" w:rsidR="007B2E4D" w:rsidRDefault="001002F3" w:rsidP="00FC7F01">
      <w:pPr>
        <w:pStyle w:val="Bodycopy"/>
        <w:rPr>
          <w:lang w:val="en-GB"/>
        </w:rPr>
      </w:pPr>
      <w:r>
        <w:rPr>
          <w:noProof/>
        </w:rPr>
        <w:drawing>
          <wp:inline distT="0" distB="0" distL="0" distR="0" wp14:anchorId="2A6C63FE" wp14:editId="0CC8186F">
            <wp:extent cx="5723906" cy="4985180"/>
            <wp:effectExtent l="19050" t="19050" r="1016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8707" cy="4989361"/>
                    </a:xfrm>
                    <a:prstGeom prst="rect">
                      <a:avLst/>
                    </a:prstGeom>
                    <a:ln>
                      <a:solidFill>
                        <a:schemeClr val="tx1"/>
                      </a:solidFill>
                    </a:ln>
                  </pic:spPr>
                </pic:pic>
              </a:graphicData>
            </a:graphic>
          </wp:inline>
        </w:drawing>
      </w:r>
    </w:p>
    <w:p w14:paraId="7AE81BC5" w14:textId="77777777" w:rsidR="001002F3" w:rsidRDefault="001002F3">
      <w:pPr>
        <w:rPr>
          <w:rFonts w:eastAsia="Times"/>
          <w:color w:val="000000"/>
          <w:lang w:val="en-GB"/>
        </w:rPr>
      </w:pPr>
      <w:r>
        <w:rPr>
          <w:lang w:val="en-GB"/>
        </w:rPr>
        <w:br w:type="page"/>
      </w:r>
    </w:p>
    <w:p w14:paraId="0E4019E5" w14:textId="735E1211" w:rsidR="00FC7F01" w:rsidRDefault="009F0227" w:rsidP="00FC7F01">
      <w:pPr>
        <w:pStyle w:val="Bodycopy"/>
        <w:rPr>
          <w:lang w:val="en-GB"/>
        </w:rPr>
      </w:pPr>
      <w:r>
        <w:rPr>
          <w:lang w:val="en-GB"/>
        </w:rPr>
        <w:lastRenderedPageBreak/>
        <w:t>Appropriation</w:t>
      </w:r>
      <w:r w:rsidR="003D2CCC">
        <w:rPr>
          <w:lang w:val="en-GB"/>
        </w:rPr>
        <w:t xml:space="preserve"> Dimension</w:t>
      </w:r>
    </w:p>
    <w:p w14:paraId="22405273" w14:textId="3DBB8F66" w:rsidR="009F0227" w:rsidRDefault="009F0227" w:rsidP="00FC7F01">
      <w:pPr>
        <w:pStyle w:val="Bodycopy"/>
        <w:rPr>
          <w:lang w:val="en-GB"/>
        </w:rPr>
      </w:pPr>
      <w:r>
        <w:rPr>
          <w:noProof/>
        </w:rPr>
        <w:drawing>
          <wp:inline distT="0" distB="0" distL="0" distR="0" wp14:anchorId="7FFA534F" wp14:editId="3C3EE78D">
            <wp:extent cx="5320030" cy="3023777"/>
            <wp:effectExtent l="19050" t="19050" r="1397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42822" cy="3036731"/>
                    </a:xfrm>
                    <a:prstGeom prst="rect">
                      <a:avLst/>
                    </a:prstGeom>
                    <a:ln>
                      <a:solidFill>
                        <a:schemeClr val="tx1"/>
                      </a:solidFill>
                    </a:ln>
                  </pic:spPr>
                </pic:pic>
              </a:graphicData>
            </a:graphic>
          </wp:inline>
        </w:drawing>
      </w:r>
    </w:p>
    <w:p w14:paraId="5F790EA0" w14:textId="7C3BAADA" w:rsidR="003D2CCC" w:rsidRDefault="003D2CCC" w:rsidP="00FC7F01">
      <w:pPr>
        <w:pStyle w:val="Bodycopy"/>
        <w:rPr>
          <w:lang w:val="en-GB"/>
        </w:rPr>
      </w:pPr>
      <w:r>
        <w:rPr>
          <w:lang w:val="en-GB"/>
        </w:rPr>
        <w:t>Fund Dimension</w:t>
      </w:r>
    </w:p>
    <w:p w14:paraId="18165B45" w14:textId="00F1ABF2" w:rsidR="003D2CCC" w:rsidRDefault="003D2CCC" w:rsidP="00FC7F01">
      <w:pPr>
        <w:pStyle w:val="Bodycopy"/>
        <w:rPr>
          <w:lang w:val="en-GB"/>
        </w:rPr>
      </w:pPr>
      <w:r>
        <w:rPr>
          <w:noProof/>
        </w:rPr>
        <w:drawing>
          <wp:inline distT="0" distB="0" distL="0" distR="0" wp14:anchorId="5C10A452" wp14:editId="76544656">
            <wp:extent cx="5320145" cy="3753657"/>
            <wp:effectExtent l="19050" t="19050" r="1397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1022" cy="3761331"/>
                    </a:xfrm>
                    <a:prstGeom prst="rect">
                      <a:avLst/>
                    </a:prstGeom>
                    <a:ln>
                      <a:solidFill>
                        <a:schemeClr val="tx1"/>
                      </a:solidFill>
                    </a:ln>
                  </pic:spPr>
                </pic:pic>
              </a:graphicData>
            </a:graphic>
          </wp:inline>
        </w:drawing>
      </w:r>
    </w:p>
    <w:p w14:paraId="210E2268" w14:textId="77777777" w:rsidR="001002F3" w:rsidRDefault="001002F3">
      <w:pPr>
        <w:rPr>
          <w:rFonts w:eastAsia="Times"/>
          <w:color w:val="000000"/>
          <w:lang w:val="en-GB"/>
        </w:rPr>
      </w:pPr>
      <w:r>
        <w:rPr>
          <w:lang w:val="en-GB"/>
        </w:rPr>
        <w:br w:type="page"/>
      </w:r>
    </w:p>
    <w:p w14:paraId="525E2646" w14:textId="1A1B36B3" w:rsidR="00D93BCE" w:rsidRDefault="00D93BCE" w:rsidP="00FC7F01">
      <w:pPr>
        <w:pStyle w:val="Bodycopy"/>
        <w:rPr>
          <w:lang w:val="en-GB"/>
        </w:rPr>
      </w:pPr>
      <w:r>
        <w:rPr>
          <w:lang w:val="en-GB"/>
        </w:rPr>
        <w:lastRenderedPageBreak/>
        <w:t>Account Dimension</w:t>
      </w:r>
      <w:r w:rsidR="0072754F">
        <w:rPr>
          <w:lang w:val="en-GB"/>
        </w:rPr>
        <w:t xml:space="preserve"> – Revenues and Expenditures</w:t>
      </w:r>
    </w:p>
    <w:p w14:paraId="2765C770" w14:textId="55716931" w:rsidR="00D93BCE" w:rsidRDefault="00D93BCE" w:rsidP="00FC7F01">
      <w:pPr>
        <w:pStyle w:val="Bodycopy"/>
        <w:rPr>
          <w:lang w:val="en-GB"/>
        </w:rPr>
      </w:pPr>
      <w:r>
        <w:rPr>
          <w:noProof/>
        </w:rPr>
        <w:drawing>
          <wp:inline distT="0" distB="0" distL="0" distR="0" wp14:anchorId="7ADD6B04" wp14:editId="7C9874AE">
            <wp:extent cx="5052951" cy="4794365"/>
            <wp:effectExtent l="19050" t="19050" r="1460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7519" cy="4808187"/>
                    </a:xfrm>
                    <a:prstGeom prst="rect">
                      <a:avLst/>
                    </a:prstGeom>
                    <a:ln>
                      <a:solidFill>
                        <a:schemeClr val="tx1"/>
                      </a:solidFill>
                    </a:ln>
                  </pic:spPr>
                </pic:pic>
              </a:graphicData>
            </a:graphic>
          </wp:inline>
        </w:drawing>
      </w:r>
    </w:p>
    <w:p w14:paraId="264EA8FB" w14:textId="77777777" w:rsidR="007B2E4D" w:rsidRDefault="007B2E4D">
      <w:pPr>
        <w:rPr>
          <w:rFonts w:eastAsia="Times"/>
          <w:color w:val="000000"/>
          <w:lang w:val="en-GB"/>
        </w:rPr>
      </w:pPr>
      <w:r>
        <w:rPr>
          <w:lang w:val="en-GB"/>
        </w:rPr>
        <w:br w:type="page"/>
      </w:r>
    </w:p>
    <w:p w14:paraId="11B2BE09" w14:textId="0B8FCA40" w:rsidR="0072754F" w:rsidRDefault="0072754F" w:rsidP="0072754F">
      <w:pPr>
        <w:pStyle w:val="Bodycopy"/>
        <w:rPr>
          <w:lang w:val="en-GB"/>
        </w:rPr>
      </w:pPr>
      <w:r>
        <w:rPr>
          <w:lang w:val="en-GB"/>
        </w:rPr>
        <w:lastRenderedPageBreak/>
        <w:t>Account Dimension – Assets and Liabilities</w:t>
      </w:r>
    </w:p>
    <w:p w14:paraId="05C64579" w14:textId="323AE473" w:rsidR="00E31CCE" w:rsidRDefault="0072754F" w:rsidP="00FC7F01">
      <w:pPr>
        <w:pStyle w:val="Bodycopy"/>
        <w:rPr>
          <w:lang w:val="en-GB"/>
        </w:rPr>
      </w:pPr>
      <w:r>
        <w:rPr>
          <w:noProof/>
        </w:rPr>
        <w:drawing>
          <wp:inline distT="0" distB="0" distL="0" distR="0" wp14:anchorId="185AE2CD" wp14:editId="28FC22DE">
            <wp:extent cx="5088577" cy="4080647"/>
            <wp:effectExtent l="19050" t="19050" r="17145"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5291" cy="4102069"/>
                    </a:xfrm>
                    <a:prstGeom prst="rect">
                      <a:avLst/>
                    </a:prstGeom>
                    <a:ln>
                      <a:solidFill>
                        <a:schemeClr val="tx1"/>
                      </a:solidFill>
                    </a:ln>
                  </pic:spPr>
                </pic:pic>
              </a:graphicData>
            </a:graphic>
          </wp:inline>
        </w:drawing>
      </w:r>
    </w:p>
    <w:p w14:paraId="1F9B86CC" w14:textId="14C521C1" w:rsidR="00270BD5" w:rsidRDefault="00270BD5" w:rsidP="00FC7F01">
      <w:pPr>
        <w:pStyle w:val="Bodycopy"/>
      </w:pPr>
    </w:p>
    <w:p w14:paraId="2C8EF323" w14:textId="77777777" w:rsidR="00270BD5" w:rsidRDefault="00270BD5" w:rsidP="00270473">
      <w:pPr>
        <w:pStyle w:val="Heading2"/>
      </w:pPr>
      <w:bookmarkStart w:id="75" w:name="_Toc68532168"/>
      <w:r>
        <w:t xml:space="preserve">Key </w:t>
      </w:r>
      <w:r w:rsidR="00450F58">
        <w:t>Luma</w:t>
      </w:r>
      <w:r>
        <w:t xml:space="preserve"> Terminology</w:t>
      </w:r>
      <w:bookmarkEnd w:id="75"/>
    </w:p>
    <w:tbl>
      <w:tblPr>
        <w:tblW w:w="9360" w:type="dxa"/>
        <w:jc w:val="center"/>
        <w:tblCellMar>
          <w:left w:w="0" w:type="dxa"/>
          <w:right w:w="0" w:type="dxa"/>
        </w:tblCellMar>
        <w:tblLook w:val="0420" w:firstRow="1" w:lastRow="0" w:firstColumn="0" w:lastColumn="0" w:noHBand="0" w:noVBand="1"/>
      </w:tblPr>
      <w:tblGrid>
        <w:gridCol w:w="2738"/>
        <w:gridCol w:w="6622"/>
      </w:tblGrid>
      <w:tr w:rsidR="00270BD5" w:rsidRPr="00270BD5" w14:paraId="1C1D4C51" w14:textId="77777777" w:rsidTr="00294AB9">
        <w:trPr>
          <w:trHeight w:val="338"/>
          <w:tblHeader/>
          <w:jc w:val="center"/>
        </w:trPr>
        <w:tc>
          <w:tcPr>
            <w:tcW w:w="2738" w:type="dxa"/>
            <w:tcBorders>
              <w:top w:val="single" w:sz="8" w:space="0" w:color="092F57"/>
              <w:left w:val="single" w:sz="8" w:space="0" w:color="092F57"/>
              <w:bottom w:val="single" w:sz="8" w:space="0" w:color="092F57"/>
              <w:right w:val="single" w:sz="8" w:space="0" w:color="092F57"/>
            </w:tcBorders>
            <w:shd w:val="clear" w:color="auto" w:fill="092F57"/>
            <w:tcMar>
              <w:top w:w="72" w:type="dxa"/>
              <w:left w:w="144" w:type="dxa"/>
              <w:bottom w:w="72" w:type="dxa"/>
              <w:right w:w="144" w:type="dxa"/>
            </w:tcMar>
            <w:vAlign w:val="center"/>
            <w:hideMark/>
          </w:tcPr>
          <w:p w14:paraId="031253F2" w14:textId="77777777" w:rsidR="00270BD5" w:rsidRPr="00270BD5" w:rsidRDefault="00270BD5" w:rsidP="00126B82">
            <w:pPr>
              <w:spacing w:before="60" w:after="60"/>
              <w:jc w:val="center"/>
              <w:rPr>
                <w:rFonts w:cs="Arial"/>
                <w:color w:val="FFFFFF" w:themeColor="background1"/>
                <w:sz w:val="18"/>
                <w:szCs w:val="18"/>
              </w:rPr>
            </w:pPr>
            <w:r w:rsidRPr="00270BD5">
              <w:rPr>
                <w:rFonts w:eastAsia="Verdana" w:cs="Arial"/>
                <w:b/>
                <w:bCs/>
                <w:color w:val="FFFFFF" w:themeColor="background1"/>
                <w:kern w:val="24"/>
                <w:sz w:val="18"/>
                <w:szCs w:val="18"/>
              </w:rPr>
              <w:t>Term</w:t>
            </w:r>
          </w:p>
        </w:tc>
        <w:tc>
          <w:tcPr>
            <w:tcW w:w="6622" w:type="dxa"/>
            <w:tcBorders>
              <w:top w:val="single" w:sz="8" w:space="0" w:color="092F57"/>
              <w:left w:val="single" w:sz="8" w:space="0" w:color="092F57"/>
              <w:bottom w:val="single" w:sz="8" w:space="0" w:color="092F57"/>
              <w:right w:val="single" w:sz="8" w:space="0" w:color="092F57"/>
            </w:tcBorders>
            <w:shd w:val="clear" w:color="auto" w:fill="092F57"/>
            <w:tcMar>
              <w:top w:w="72" w:type="dxa"/>
              <w:left w:w="144" w:type="dxa"/>
              <w:bottom w:w="72" w:type="dxa"/>
              <w:right w:w="144" w:type="dxa"/>
            </w:tcMar>
            <w:vAlign w:val="center"/>
            <w:hideMark/>
          </w:tcPr>
          <w:p w14:paraId="712B104D" w14:textId="77777777" w:rsidR="00270BD5" w:rsidRPr="00270BD5" w:rsidRDefault="00270BD5" w:rsidP="00126B82">
            <w:pPr>
              <w:spacing w:before="60" w:after="60"/>
              <w:jc w:val="center"/>
              <w:rPr>
                <w:rFonts w:cs="Arial"/>
                <w:color w:val="FFFFFF" w:themeColor="background1"/>
                <w:sz w:val="18"/>
                <w:szCs w:val="18"/>
              </w:rPr>
            </w:pPr>
            <w:r w:rsidRPr="00270BD5">
              <w:rPr>
                <w:rFonts w:eastAsia="Verdana" w:cs="Arial"/>
                <w:b/>
                <w:bCs/>
                <w:color w:val="FFFFFF" w:themeColor="background1"/>
                <w:kern w:val="24"/>
                <w:sz w:val="18"/>
                <w:szCs w:val="18"/>
              </w:rPr>
              <w:t>Definition</w:t>
            </w:r>
          </w:p>
        </w:tc>
      </w:tr>
      <w:tr w:rsidR="00270BD5" w:rsidRPr="00270BD5" w14:paraId="0ADB974C" w14:textId="77777777" w:rsidTr="00270BD5">
        <w:trPr>
          <w:trHeight w:val="872"/>
          <w:jc w:val="center"/>
        </w:trPr>
        <w:tc>
          <w:tcPr>
            <w:tcW w:w="2738" w:type="dxa"/>
            <w:tcBorders>
              <w:top w:val="single" w:sz="8" w:space="0" w:color="092F57"/>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059106" w14:textId="77777777" w:rsidR="00270BD5" w:rsidRPr="00270BD5" w:rsidRDefault="00674DF4" w:rsidP="00126B82">
            <w:pPr>
              <w:spacing w:before="60" w:after="60"/>
              <w:rPr>
                <w:rFonts w:cs="Arial"/>
                <w:sz w:val="18"/>
                <w:szCs w:val="18"/>
              </w:rPr>
            </w:pPr>
            <w:r>
              <w:rPr>
                <w:rFonts w:eastAsia="Verdana" w:cs="Arial"/>
                <w:b/>
                <w:bCs/>
                <w:color w:val="000000" w:themeColor="text1"/>
                <w:kern w:val="24"/>
                <w:sz w:val="18"/>
                <w:szCs w:val="18"/>
              </w:rPr>
              <w:t>Chart of Accounts</w:t>
            </w:r>
          </w:p>
        </w:tc>
        <w:tc>
          <w:tcPr>
            <w:tcW w:w="6622" w:type="dxa"/>
            <w:tcBorders>
              <w:top w:val="single" w:sz="8" w:space="0" w:color="092F57"/>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F99659B" w14:textId="77777777" w:rsidR="00270BD5" w:rsidRPr="00270BD5" w:rsidRDefault="00270BD5" w:rsidP="00126B82">
            <w:pPr>
              <w:spacing w:before="60" w:after="60"/>
              <w:rPr>
                <w:rFonts w:cs="Arial"/>
                <w:sz w:val="18"/>
                <w:szCs w:val="18"/>
              </w:rPr>
            </w:pPr>
            <w:r w:rsidRPr="00270BD5">
              <w:rPr>
                <w:rFonts w:eastAsia="Verdana" w:cs="Arial"/>
                <w:color w:val="000000" w:themeColor="text1"/>
                <w:kern w:val="24"/>
                <w:sz w:val="18"/>
                <w:szCs w:val="18"/>
              </w:rPr>
              <w:t xml:space="preserve">A </w:t>
            </w:r>
            <w:r w:rsidR="00674DF4">
              <w:rPr>
                <w:rFonts w:eastAsia="Verdana" w:cs="Arial"/>
                <w:color w:val="000000" w:themeColor="text1"/>
                <w:kern w:val="24"/>
                <w:sz w:val="18"/>
                <w:szCs w:val="18"/>
              </w:rPr>
              <w:t>Chart of Accounts</w:t>
            </w:r>
            <w:r w:rsidR="00284BB9" w:rsidRPr="00270BD5">
              <w:rPr>
                <w:rFonts w:eastAsia="Verdana" w:cs="Arial"/>
                <w:color w:val="000000" w:themeColor="text1"/>
                <w:kern w:val="24"/>
                <w:sz w:val="18"/>
                <w:szCs w:val="18"/>
              </w:rPr>
              <w:t xml:space="preserve"> </w:t>
            </w:r>
            <w:r w:rsidR="00284BB9">
              <w:rPr>
                <w:rFonts w:eastAsia="Verdana" w:cs="Arial"/>
                <w:color w:val="000000" w:themeColor="text1"/>
                <w:kern w:val="24"/>
                <w:sz w:val="18"/>
                <w:szCs w:val="18"/>
              </w:rPr>
              <w:t>(COA)</w:t>
            </w:r>
            <w:r w:rsidRPr="00270BD5">
              <w:rPr>
                <w:rFonts w:eastAsia="Verdana" w:cs="Arial"/>
                <w:color w:val="000000" w:themeColor="text1"/>
                <w:kern w:val="24"/>
                <w:sz w:val="18"/>
                <w:szCs w:val="18"/>
              </w:rPr>
              <w:t xml:space="preserve"> is used by an organization to define each class of items for which funds are spent or received. It is the basic and the most important building block for any finance organization. A well-designed COA increases business value, enhances internal controls, reduces costs, increases efficiency, and improves customer service.</w:t>
            </w:r>
          </w:p>
        </w:tc>
      </w:tr>
      <w:tr w:rsidR="00FC6B9F" w:rsidRPr="00270BD5" w14:paraId="22600940" w14:textId="77777777" w:rsidTr="00270BD5">
        <w:trPr>
          <w:trHeight w:val="71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547E3A0" w14:textId="77777777" w:rsidR="00FC6B9F" w:rsidRPr="00270BD5" w:rsidRDefault="00FC6B9F" w:rsidP="00126B82">
            <w:pPr>
              <w:spacing w:before="60" w:after="60"/>
              <w:rPr>
                <w:rFonts w:eastAsia="Verdana" w:cs="Arial"/>
                <w:b/>
                <w:bCs/>
                <w:color w:val="000000" w:themeColor="text1"/>
                <w:kern w:val="24"/>
                <w:sz w:val="18"/>
                <w:szCs w:val="18"/>
              </w:rPr>
            </w:pPr>
            <w:r w:rsidRPr="00270BD5">
              <w:rPr>
                <w:rFonts w:eastAsia="Verdana" w:cs="Arial"/>
                <w:b/>
                <w:bCs/>
                <w:color w:val="000000" w:themeColor="text1"/>
                <w:kern w:val="24"/>
                <w:sz w:val="18"/>
                <w:szCs w:val="18"/>
              </w:rPr>
              <w:t>Dimension</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1F440A0" w14:textId="77777777" w:rsidR="00FC6B9F" w:rsidRPr="00270BD5" w:rsidRDefault="00FC6B9F" w:rsidP="00126B82">
            <w:pPr>
              <w:spacing w:before="60" w:after="60" w:line="254" w:lineRule="auto"/>
              <w:textAlignment w:val="bottom"/>
              <w:rPr>
                <w:rFonts w:eastAsia="Verdana" w:cs="Arial"/>
                <w:color w:val="000000" w:themeColor="text1"/>
                <w:kern w:val="24"/>
                <w:sz w:val="18"/>
                <w:szCs w:val="18"/>
              </w:rPr>
            </w:pPr>
            <w:r w:rsidRPr="00270BD5">
              <w:rPr>
                <w:rFonts w:eastAsia="Verdana" w:cs="Arial"/>
                <w:color w:val="000000" w:themeColor="text1"/>
                <w:kern w:val="24"/>
                <w:sz w:val="18"/>
                <w:szCs w:val="18"/>
              </w:rPr>
              <w:t>A dimension represents a “bucket” of values available to represent and record each accounting entry. Effective segmentation allows for ease in addressing reporting needs.</w:t>
            </w:r>
          </w:p>
        </w:tc>
      </w:tr>
      <w:tr w:rsidR="00FC6B9F" w:rsidRPr="00270BD5" w14:paraId="429ACA6E" w14:textId="77777777" w:rsidTr="00270BD5">
        <w:trPr>
          <w:trHeight w:val="71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4FAEE5" w14:textId="77777777" w:rsidR="00FC6B9F" w:rsidRPr="00270BD5" w:rsidRDefault="00FC6B9F" w:rsidP="00126B82">
            <w:pPr>
              <w:spacing w:before="60" w:after="60"/>
              <w:rPr>
                <w:rFonts w:cs="Arial"/>
                <w:sz w:val="18"/>
                <w:szCs w:val="18"/>
              </w:rPr>
            </w:pPr>
            <w:r w:rsidRPr="00270BD5">
              <w:rPr>
                <w:rFonts w:eastAsia="Verdana" w:cs="Arial"/>
                <w:b/>
                <w:bCs/>
                <w:color w:val="000000" w:themeColor="text1"/>
                <w:kern w:val="24"/>
                <w:sz w:val="18"/>
                <w:szCs w:val="18"/>
              </w:rPr>
              <w:t>Hierarchy</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F56E71" w14:textId="77777777" w:rsidR="00FC6B9F" w:rsidRPr="00270BD5" w:rsidRDefault="00FC6B9F" w:rsidP="00126B82">
            <w:pPr>
              <w:spacing w:before="60" w:after="60" w:line="254" w:lineRule="auto"/>
              <w:textAlignment w:val="bottom"/>
              <w:rPr>
                <w:rFonts w:cs="Arial"/>
                <w:sz w:val="18"/>
                <w:szCs w:val="18"/>
              </w:rPr>
            </w:pPr>
            <w:r w:rsidRPr="00270BD5">
              <w:rPr>
                <w:rFonts w:eastAsia="Verdana" w:cs="Arial"/>
                <w:color w:val="000000" w:themeColor="text1"/>
                <w:kern w:val="24"/>
                <w:sz w:val="18"/>
                <w:szCs w:val="18"/>
              </w:rPr>
              <w:t>The hierarchy is the roll-up structure</w:t>
            </w:r>
            <w:r w:rsidR="00AC398B">
              <w:rPr>
                <w:rFonts w:eastAsia="Verdana" w:cs="Arial"/>
                <w:color w:val="000000" w:themeColor="text1"/>
                <w:kern w:val="24"/>
                <w:sz w:val="18"/>
                <w:szCs w:val="18"/>
              </w:rPr>
              <w:t xml:space="preserve"> upon which</w:t>
            </w:r>
            <w:r w:rsidRPr="00270BD5">
              <w:rPr>
                <w:rFonts w:eastAsia="Verdana" w:cs="Arial"/>
                <w:color w:val="000000" w:themeColor="text1"/>
                <w:kern w:val="24"/>
                <w:sz w:val="18"/>
                <w:szCs w:val="18"/>
              </w:rPr>
              <w:t xml:space="preserve"> the </w:t>
            </w:r>
            <w:r w:rsidR="00674DF4">
              <w:rPr>
                <w:rFonts w:eastAsia="Verdana" w:cs="Arial"/>
                <w:color w:val="000000" w:themeColor="text1"/>
                <w:kern w:val="24"/>
                <w:sz w:val="18"/>
                <w:szCs w:val="18"/>
              </w:rPr>
              <w:t>Chart of Accounts</w:t>
            </w:r>
            <w:r w:rsidR="00284BB9"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is framed. Typically, </w:t>
            </w:r>
            <w:r w:rsidR="00AC398B">
              <w:rPr>
                <w:rFonts w:eastAsia="Verdana" w:cs="Arial"/>
                <w:color w:val="000000" w:themeColor="text1"/>
                <w:kern w:val="24"/>
                <w:sz w:val="18"/>
                <w:szCs w:val="18"/>
              </w:rPr>
              <w:t>a</w:t>
            </w:r>
            <w:r w:rsidRPr="00270BD5">
              <w:rPr>
                <w:rFonts w:eastAsia="Verdana" w:cs="Arial"/>
                <w:color w:val="000000" w:themeColor="text1"/>
                <w:kern w:val="24"/>
                <w:sz w:val="18"/>
                <w:szCs w:val="18"/>
              </w:rPr>
              <w:t xml:space="preserve"> hierarchy consists of a singular entity at the top with subsequent entities underneath.</w:t>
            </w:r>
          </w:p>
        </w:tc>
      </w:tr>
      <w:tr w:rsidR="00FC6B9F" w:rsidRPr="00270BD5" w14:paraId="6EB971A9" w14:textId="77777777" w:rsidTr="00FC6B9F">
        <w:trPr>
          <w:trHeight w:val="756"/>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754AE95" w14:textId="77777777" w:rsidR="00FC6B9F" w:rsidRPr="00270BD5" w:rsidRDefault="00FC6B9F" w:rsidP="00126B82">
            <w:pPr>
              <w:spacing w:before="60" w:after="60"/>
              <w:rPr>
                <w:rFonts w:eastAsia="Verdana" w:cs="Arial"/>
                <w:b/>
                <w:bCs/>
                <w:color w:val="000000" w:themeColor="text1"/>
                <w:kern w:val="24"/>
                <w:sz w:val="18"/>
                <w:szCs w:val="18"/>
              </w:rPr>
            </w:pPr>
            <w:r w:rsidRPr="00270BD5">
              <w:rPr>
                <w:rFonts w:eastAsia="Verdana" w:cs="Arial"/>
                <w:b/>
                <w:bCs/>
                <w:color w:val="000000" w:themeColor="text1"/>
                <w:kern w:val="24"/>
                <w:sz w:val="18"/>
                <w:szCs w:val="18"/>
              </w:rPr>
              <w:t>Ledgers</w:t>
            </w:r>
          </w:p>
          <w:p w14:paraId="16BA750E" w14:textId="77777777" w:rsidR="00FC6B9F" w:rsidRPr="00270BD5" w:rsidRDefault="00FC6B9F" w:rsidP="00126B82">
            <w:pPr>
              <w:spacing w:before="60" w:after="60"/>
              <w:rPr>
                <w:rFonts w:cs="Arial"/>
                <w:sz w:val="18"/>
                <w:szCs w:val="18"/>
              </w:rPr>
            </w:pP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A295548" w14:textId="77777777" w:rsidR="00FC6B9F" w:rsidRPr="00854130" w:rsidRDefault="00FC6B9F" w:rsidP="00126B82">
            <w:pPr>
              <w:spacing w:before="60" w:after="60"/>
              <w:rPr>
                <w:rFonts w:eastAsia="Verdana" w:cs="Arial"/>
                <w:color w:val="000000" w:themeColor="text1"/>
                <w:kern w:val="24"/>
                <w:sz w:val="18"/>
                <w:szCs w:val="18"/>
              </w:rPr>
            </w:pPr>
            <w:r w:rsidRPr="00270BD5">
              <w:rPr>
                <w:rFonts w:eastAsia="Verdana" w:cs="Arial"/>
                <w:color w:val="000000" w:themeColor="text1"/>
                <w:kern w:val="24"/>
                <w:sz w:val="18"/>
                <w:szCs w:val="18"/>
              </w:rPr>
              <w:t>All transactions are associated with a ledger. Ledgers can be shared across the reporting basis, except the close ledger and currency ledger that are unique to each reporting basis.</w:t>
            </w:r>
            <w:r>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The core ledger is created automatically and assigned to the reporting basis. A close ledger is generated automatically for each reporting </w:t>
            </w:r>
            <w:r w:rsidRPr="00270BD5">
              <w:rPr>
                <w:rFonts w:eastAsia="Verdana" w:cs="Arial"/>
                <w:color w:val="000000" w:themeColor="text1"/>
                <w:kern w:val="24"/>
                <w:sz w:val="18"/>
                <w:szCs w:val="18"/>
              </w:rPr>
              <w:lastRenderedPageBreak/>
              <w:t xml:space="preserve">basis that </w:t>
            </w:r>
            <w:r w:rsidR="00284BB9">
              <w:rPr>
                <w:rFonts w:eastAsia="Verdana" w:cs="Arial"/>
                <w:color w:val="000000" w:themeColor="text1"/>
                <w:kern w:val="24"/>
                <w:sz w:val="18"/>
                <w:szCs w:val="18"/>
              </w:rPr>
              <w:t>is created</w:t>
            </w:r>
            <w:r w:rsidR="007E6A09">
              <w:rPr>
                <w:rFonts w:eastAsia="Verdana" w:cs="Arial"/>
                <w:color w:val="000000" w:themeColor="text1"/>
                <w:kern w:val="24"/>
                <w:sz w:val="18"/>
                <w:szCs w:val="18"/>
              </w:rPr>
              <w:t xml:space="preserve">. </w:t>
            </w:r>
            <w:r w:rsidR="00284BB9">
              <w:rPr>
                <w:rFonts w:eastAsia="Verdana" w:cs="Arial"/>
                <w:color w:val="000000" w:themeColor="text1"/>
                <w:kern w:val="24"/>
                <w:sz w:val="18"/>
                <w:szCs w:val="18"/>
              </w:rPr>
              <w:t>The ability exists to</w:t>
            </w:r>
            <w:r w:rsidRPr="00270BD5">
              <w:rPr>
                <w:rFonts w:eastAsia="Verdana" w:cs="Arial"/>
                <w:color w:val="000000" w:themeColor="text1"/>
                <w:kern w:val="24"/>
                <w:sz w:val="18"/>
                <w:szCs w:val="18"/>
              </w:rPr>
              <w:t xml:space="preserve"> define other ledgers to meet </w:t>
            </w:r>
            <w:r w:rsidR="00085C8D">
              <w:rPr>
                <w:rFonts w:eastAsia="Verdana" w:cs="Arial"/>
                <w:color w:val="000000" w:themeColor="text1"/>
                <w:kern w:val="24"/>
                <w:sz w:val="18"/>
                <w:szCs w:val="18"/>
              </w:rPr>
              <w:t>an</w:t>
            </w:r>
            <w:r w:rsidR="00085C8D"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organization's reporting requirements. For example, </w:t>
            </w:r>
            <w:r w:rsidR="00085C8D">
              <w:rPr>
                <w:rFonts w:eastAsia="Verdana" w:cs="Arial"/>
                <w:color w:val="000000" w:themeColor="text1"/>
                <w:kern w:val="24"/>
                <w:sz w:val="18"/>
                <w:szCs w:val="18"/>
              </w:rPr>
              <w:t>an organization</w:t>
            </w:r>
            <w:r w:rsidR="00085C8D" w:rsidRPr="00270BD5">
              <w:rPr>
                <w:rFonts w:eastAsia="Verdana" w:cs="Arial"/>
                <w:color w:val="000000" w:themeColor="text1"/>
                <w:kern w:val="24"/>
                <w:sz w:val="18"/>
                <w:szCs w:val="18"/>
              </w:rPr>
              <w:t xml:space="preserve"> </w:t>
            </w:r>
            <w:r w:rsidRPr="00270BD5">
              <w:rPr>
                <w:rFonts w:eastAsia="Verdana" w:cs="Arial"/>
                <w:color w:val="000000" w:themeColor="text1"/>
                <w:kern w:val="24"/>
                <w:sz w:val="18"/>
                <w:szCs w:val="18"/>
              </w:rPr>
              <w:t xml:space="preserve">can create adjustment ledgers and eliminating entries ledgers. Ledgers participate in a basis and can be shared by multiple bases. </w:t>
            </w:r>
            <w:r w:rsidR="00085C8D">
              <w:rPr>
                <w:rFonts w:eastAsia="Verdana" w:cs="Arial"/>
                <w:color w:val="000000" w:themeColor="text1"/>
                <w:kern w:val="24"/>
                <w:sz w:val="18"/>
                <w:szCs w:val="18"/>
              </w:rPr>
              <w:t>An organization</w:t>
            </w:r>
            <w:r w:rsidRPr="00270BD5">
              <w:rPr>
                <w:rFonts w:eastAsia="Verdana" w:cs="Arial"/>
                <w:color w:val="000000" w:themeColor="text1"/>
                <w:kern w:val="24"/>
                <w:sz w:val="18"/>
                <w:szCs w:val="18"/>
              </w:rPr>
              <w:t xml:space="preserve"> can create an unlimited number of ledgers </w:t>
            </w:r>
            <w:r w:rsidR="00085C8D">
              <w:rPr>
                <w:rFonts w:eastAsia="Verdana" w:cs="Arial"/>
                <w:color w:val="000000" w:themeColor="text1"/>
                <w:kern w:val="24"/>
                <w:sz w:val="18"/>
                <w:szCs w:val="18"/>
              </w:rPr>
              <w:t>(f</w:t>
            </w:r>
            <w:r w:rsidRPr="00270BD5">
              <w:rPr>
                <w:rFonts w:eastAsia="Verdana" w:cs="Arial"/>
                <w:color w:val="000000" w:themeColor="text1"/>
                <w:kern w:val="24"/>
                <w:sz w:val="18"/>
                <w:szCs w:val="18"/>
              </w:rPr>
              <w:t>or example, budgetary, tax, localized, audit, and operational adjustments</w:t>
            </w:r>
            <w:r w:rsidR="00085C8D">
              <w:rPr>
                <w:rFonts w:eastAsia="Verdana" w:cs="Arial"/>
                <w:color w:val="000000" w:themeColor="text1"/>
                <w:kern w:val="24"/>
                <w:sz w:val="18"/>
                <w:szCs w:val="18"/>
              </w:rPr>
              <w:t>)</w:t>
            </w:r>
            <w:r w:rsidRPr="00270BD5">
              <w:rPr>
                <w:rFonts w:eastAsia="Verdana" w:cs="Arial"/>
                <w:color w:val="000000" w:themeColor="text1"/>
                <w:kern w:val="24"/>
                <w:sz w:val="18"/>
                <w:szCs w:val="18"/>
              </w:rPr>
              <w:t xml:space="preserve">. </w:t>
            </w:r>
          </w:p>
        </w:tc>
      </w:tr>
      <w:tr w:rsidR="00FC6B9F" w:rsidRPr="00270BD5" w14:paraId="2EF83845" w14:textId="77777777" w:rsidTr="00270BD5">
        <w:trPr>
          <w:trHeight w:val="415"/>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4A5DAC" w14:textId="77777777" w:rsidR="00FC6B9F" w:rsidRPr="00270BD5" w:rsidRDefault="00FC6B9F" w:rsidP="00126B82">
            <w:pPr>
              <w:spacing w:before="60" w:after="60"/>
              <w:rPr>
                <w:rFonts w:cs="Arial"/>
                <w:sz w:val="18"/>
                <w:szCs w:val="18"/>
              </w:rPr>
            </w:pPr>
            <w:r w:rsidRPr="00270BD5">
              <w:rPr>
                <w:rFonts w:eastAsia="Verdana" w:cs="Arial"/>
                <w:b/>
                <w:bCs/>
                <w:color w:val="000000" w:themeColor="text1"/>
                <w:kern w:val="24"/>
                <w:sz w:val="18"/>
                <w:szCs w:val="18"/>
              </w:rPr>
              <w:lastRenderedPageBreak/>
              <w:t>Reporting Basis</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EF8844C" w14:textId="3FDAEE08" w:rsidR="00FC6B9F" w:rsidRPr="00270BD5" w:rsidRDefault="00FF1E74" w:rsidP="00126B82">
            <w:pPr>
              <w:spacing w:before="60" w:after="60"/>
              <w:rPr>
                <w:rFonts w:cs="Arial"/>
                <w:sz w:val="18"/>
                <w:szCs w:val="18"/>
              </w:rPr>
            </w:pPr>
            <w:r>
              <w:rPr>
                <w:rFonts w:eastAsia="Verdana" w:cs="Arial"/>
                <w:color w:val="000000" w:themeColor="text1"/>
                <w:kern w:val="24"/>
                <w:sz w:val="18"/>
                <w:szCs w:val="18"/>
              </w:rPr>
              <w:t>P</w:t>
            </w:r>
            <w:r w:rsidR="00FC6B9F" w:rsidRPr="00270BD5">
              <w:rPr>
                <w:rFonts w:eastAsia="Verdana" w:cs="Arial"/>
                <w:color w:val="000000" w:themeColor="text1"/>
                <w:kern w:val="24"/>
                <w:sz w:val="18"/>
                <w:szCs w:val="18"/>
              </w:rPr>
              <w:t>ulls together the accounting elements required to produce financial reports that adhere to specific accounting standards (such as Generally Accepted Accounting Principles</w:t>
            </w:r>
            <w:r w:rsidR="009E65D1">
              <w:rPr>
                <w:rFonts w:eastAsia="Verdana" w:cs="Arial"/>
                <w:color w:val="000000" w:themeColor="text1"/>
                <w:kern w:val="24"/>
                <w:sz w:val="18"/>
                <w:szCs w:val="18"/>
              </w:rPr>
              <w:t xml:space="preserve"> (</w:t>
            </w:r>
            <w:r w:rsidR="00FC6B9F" w:rsidRPr="00270BD5">
              <w:rPr>
                <w:rFonts w:eastAsia="Verdana" w:cs="Arial"/>
                <w:color w:val="000000" w:themeColor="text1"/>
                <w:kern w:val="24"/>
                <w:sz w:val="18"/>
                <w:szCs w:val="18"/>
              </w:rPr>
              <w:t>GAAP</w:t>
            </w:r>
            <w:r w:rsidR="009E65D1">
              <w:rPr>
                <w:rFonts w:eastAsia="Verdana" w:cs="Arial"/>
                <w:color w:val="000000" w:themeColor="text1"/>
                <w:kern w:val="24"/>
                <w:sz w:val="18"/>
                <w:szCs w:val="18"/>
              </w:rPr>
              <w:t>)</w:t>
            </w:r>
            <w:r w:rsidR="00FC6B9F" w:rsidRPr="00270BD5">
              <w:rPr>
                <w:rFonts w:eastAsia="Verdana" w:cs="Arial"/>
                <w:color w:val="000000" w:themeColor="text1"/>
                <w:kern w:val="24"/>
                <w:sz w:val="18"/>
                <w:szCs w:val="18"/>
              </w:rPr>
              <w:t xml:space="preserve"> </w:t>
            </w:r>
            <w:r>
              <w:rPr>
                <w:rFonts w:eastAsia="Verdana" w:cs="Arial"/>
                <w:color w:val="000000" w:themeColor="text1"/>
                <w:kern w:val="24"/>
                <w:sz w:val="18"/>
                <w:szCs w:val="18"/>
              </w:rPr>
              <w:t>and GASB</w:t>
            </w:r>
            <w:r w:rsidR="00FC6B9F" w:rsidRPr="00270BD5">
              <w:rPr>
                <w:rFonts w:eastAsia="Verdana" w:cs="Arial"/>
                <w:color w:val="000000" w:themeColor="text1"/>
                <w:kern w:val="24"/>
                <w:sz w:val="18"/>
                <w:szCs w:val="18"/>
              </w:rPr>
              <w:t>). A reporting basis can also be used to generate internal financial reports that are used by executives to make budgetary, management, and operational assessments.</w:t>
            </w:r>
            <w:r w:rsidR="00FC6B9F">
              <w:rPr>
                <w:rFonts w:eastAsia="Verdana" w:cs="Arial"/>
                <w:color w:val="000000" w:themeColor="text1"/>
                <w:kern w:val="24"/>
                <w:sz w:val="18"/>
                <w:szCs w:val="18"/>
              </w:rPr>
              <w:t xml:space="preserve"> </w:t>
            </w:r>
            <w:r w:rsidR="00FC6B9F" w:rsidRPr="00270BD5">
              <w:rPr>
                <w:rFonts w:eastAsia="Verdana" w:cs="Arial"/>
                <w:color w:val="000000" w:themeColor="text1"/>
                <w:kern w:val="24"/>
                <w:sz w:val="18"/>
                <w:szCs w:val="18"/>
              </w:rPr>
              <w:t xml:space="preserve">Reports must be in context of a reporting basis to guarantee complete results. The delivered reports </w:t>
            </w:r>
            <w:r w:rsidR="00085C8D">
              <w:rPr>
                <w:rFonts w:eastAsia="Verdana" w:cs="Arial"/>
                <w:color w:val="000000" w:themeColor="text1"/>
                <w:kern w:val="24"/>
                <w:sz w:val="18"/>
                <w:szCs w:val="18"/>
              </w:rPr>
              <w:t>wi</w:t>
            </w:r>
            <w:r w:rsidR="00294AB9">
              <w:rPr>
                <w:rFonts w:eastAsia="Verdana" w:cs="Arial"/>
                <w:color w:val="000000" w:themeColor="text1"/>
                <w:kern w:val="24"/>
                <w:sz w:val="18"/>
                <w:szCs w:val="18"/>
              </w:rPr>
              <w:t>thin Luma</w:t>
            </w:r>
            <w:r w:rsidR="00085C8D">
              <w:rPr>
                <w:rFonts w:eastAsia="Verdana" w:cs="Arial"/>
                <w:color w:val="000000" w:themeColor="text1"/>
                <w:kern w:val="24"/>
                <w:sz w:val="18"/>
                <w:szCs w:val="18"/>
              </w:rPr>
              <w:t xml:space="preserve"> </w:t>
            </w:r>
            <w:r w:rsidR="00FC6B9F" w:rsidRPr="00270BD5">
              <w:rPr>
                <w:rFonts w:eastAsia="Verdana" w:cs="Arial"/>
                <w:color w:val="000000" w:themeColor="text1"/>
                <w:kern w:val="24"/>
                <w:sz w:val="18"/>
                <w:szCs w:val="18"/>
              </w:rPr>
              <w:t xml:space="preserve">include the reporting basis definition by using a cross reference to the reporting basis dimension found in </w:t>
            </w:r>
            <w:r w:rsidR="00294AB9">
              <w:rPr>
                <w:rFonts w:eastAsia="Verdana" w:cs="Arial"/>
                <w:color w:val="000000" w:themeColor="text1"/>
                <w:kern w:val="24"/>
                <w:sz w:val="18"/>
                <w:szCs w:val="18"/>
              </w:rPr>
              <w:t xml:space="preserve">the </w:t>
            </w:r>
            <w:r w:rsidR="00085C8D">
              <w:rPr>
                <w:rFonts w:eastAsia="Verdana" w:cs="Arial"/>
                <w:color w:val="000000" w:themeColor="text1"/>
                <w:kern w:val="24"/>
                <w:sz w:val="18"/>
                <w:szCs w:val="18"/>
              </w:rPr>
              <w:t>Luma</w:t>
            </w:r>
            <w:r w:rsidR="00FC6B9F" w:rsidRPr="00270BD5">
              <w:rPr>
                <w:rFonts w:eastAsia="Verdana" w:cs="Arial"/>
                <w:color w:val="000000" w:themeColor="text1"/>
                <w:kern w:val="24"/>
                <w:sz w:val="18"/>
                <w:szCs w:val="18"/>
              </w:rPr>
              <w:t xml:space="preserve"> Finance Enterprise Group (FEG) cube. FEG includes attributes from the business classes Finance Enterprise Group and Reporting Basis.</w:t>
            </w:r>
          </w:p>
        </w:tc>
      </w:tr>
      <w:tr w:rsidR="00FC6B9F" w:rsidRPr="00270BD5" w14:paraId="5FE68129" w14:textId="77777777" w:rsidTr="00270BD5">
        <w:trPr>
          <w:trHeight w:val="415"/>
          <w:jc w:val="center"/>
        </w:trPr>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3936EAF" w14:textId="552BBA9A" w:rsidR="00FC6B9F" w:rsidRPr="00270BD5" w:rsidRDefault="00FC6B9F" w:rsidP="00126B82">
            <w:pPr>
              <w:spacing w:before="60" w:after="60"/>
              <w:rPr>
                <w:rFonts w:eastAsia="Verdana" w:cs="Arial"/>
                <w:b/>
                <w:bCs/>
                <w:color w:val="000000" w:themeColor="text1"/>
                <w:kern w:val="24"/>
                <w:sz w:val="18"/>
                <w:szCs w:val="18"/>
              </w:rPr>
            </w:pPr>
            <w:r w:rsidRPr="00270BD5">
              <w:rPr>
                <w:rFonts w:eastAsia="Verdana" w:cs="Arial"/>
                <w:b/>
                <w:bCs/>
                <w:color w:val="000000" w:themeColor="text1"/>
                <w:kern w:val="24"/>
                <w:sz w:val="18"/>
                <w:szCs w:val="18"/>
              </w:rPr>
              <w:t>Structur</w:t>
            </w:r>
            <w:r w:rsidR="00AF6BFB">
              <w:rPr>
                <w:rFonts w:eastAsia="Verdana" w:cs="Arial"/>
                <w:b/>
                <w:bCs/>
                <w:color w:val="000000" w:themeColor="text1"/>
                <w:kern w:val="24"/>
                <w:sz w:val="18"/>
                <w:szCs w:val="18"/>
              </w:rPr>
              <w:t>e</w:t>
            </w:r>
            <w:r w:rsidRPr="00270BD5">
              <w:rPr>
                <w:rFonts w:eastAsia="Verdana" w:cs="Arial"/>
                <w:b/>
                <w:bCs/>
                <w:color w:val="000000" w:themeColor="text1"/>
                <w:kern w:val="24"/>
                <w:sz w:val="18"/>
                <w:szCs w:val="18"/>
              </w:rPr>
              <w:t xml:space="preserve"> Relation</w:t>
            </w:r>
            <w:r w:rsidR="00AF6BFB">
              <w:rPr>
                <w:rFonts w:eastAsia="Verdana" w:cs="Arial"/>
                <w:b/>
                <w:bCs/>
                <w:color w:val="000000" w:themeColor="text1"/>
                <w:kern w:val="24"/>
                <w:sz w:val="18"/>
                <w:szCs w:val="18"/>
              </w:rPr>
              <w:t>s</w:t>
            </w:r>
          </w:p>
          <w:p w14:paraId="4A09EB38" w14:textId="77777777" w:rsidR="00FC6B9F" w:rsidRPr="00270BD5" w:rsidRDefault="00FC6B9F" w:rsidP="00126B82">
            <w:pPr>
              <w:spacing w:before="60" w:after="60"/>
              <w:rPr>
                <w:rFonts w:eastAsia="Verdana" w:cs="Arial"/>
                <w:b/>
                <w:bCs/>
                <w:color w:val="000000" w:themeColor="text1"/>
                <w:kern w:val="24"/>
                <w:sz w:val="18"/>
                <w:szCs w:val="18"/>
              </w:rPr>
            </w:pP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9918D4B" w14:textId="6FBCF462" w:rsidR="00FC6B9F" w:rsidRPr="00270BD5" w:rsidRDefault="00AF6BFB" w:rsidP="00126B82">
            <w:pPr>
              <w:spacing w:before="60" w:after="60"/>
              <w:rPr>
                <w:rFonts w:eastAsia="Verdana" w:cs="Arial"/>
                <w:color w:val="000000" w:themeColor="text1"/>
                <w:kern w:val="24"/>
                <w:sz w:val="18"/>
                <w:szCs w:val="18"/>
              </w:rPr>
            </w:pPr>
            <w:r>
              <w:rPr>
                <w:rFonts w:eastAsia="Verdana" w:cs="Arial"/>
                <w:color w:val="000000" w:themeColor="text1"/>
                <w:kern w:val="24"/>
                <w:sz w:val="18"/>
                <w:szCs w:val="18"/>
              </w:rPr>
              <w:t>C</w:t>
            </w:r>
            <w:r w:rsidR="00FC6B9F" w:rsidRPr="00270BD5">
              <w:rPr>
                <w:rFonts w:eastAsia="Verdana" w:cs="Arial"/>
                <w:color w:val="000000" w:themeColor="text1"/>
                <w:kern w:val="24"/>
                <w:sz w:val="18"/>
                <w:szCs w:val="18"/>
              </w:rPr>
              <w:t xml:space="preserve">reate a relationship between </w:t>
            </w:r>
            <w:r w:rsidR="00FC6B9F">
              <w:rPr>
                <w:rFonts w:eastAsia="Verdana" w:cs="Arial"/>
                <w:color w:val="000000" w:themeColor="text1"/>
                <w:kern w:val="24"/>
                <w:sz w:val="18"/>
                <w:szCs w:val="18"/>
              </w:rPr>
              <w:t>dimensions</w:t>
            </w:r>
            <w:r w:rsidR="00FC6B9F" w:rsidRPr="00270BD5">
              <w:rPr>
                <w:rFonts w:eastAsia="Verdana" w:cs="Arial"/>
                <w:color w:val="000000" w:themeColor="text1"/>
                <w:kern w:val="24"/>
                <w:sz w:val="18"/>
                <w:szCs w:val="18"/>
              </w:rPr>
              <w:t xml:space="preserve"> of the </w:t>
            </w:r>
            <w:r w:rsidR="00085C8D">
              <w:rPr>
                <w:rFonts w:eastAsia="Verdana" w:cs="Arial"/>
                <w:color w:val="000000" w:themeColor="text1"/>
                <w:kern w:val="24"/>
                <w:sz w:val="18"/>
                <w:szCs w:val="18"/>
              </w:rPr>
              <w:t>F</w:t>
            </w:r>
            <w:r w:rsidR="00085C8D" w:rsidRPr="00270BD5">
              <w:rPr>
                <w:rFonts w:eastAsia="Verdana" w:cs="Arial"/>
                <w:color w:val="000000" w:themeColor="text1"/>
                <w:kern w:val="24"/>
                <w:sz w:val="18"/>
                <w:szCs w:val="18"/>
              </w:rPr>
              <w:t xml:space="preserve">inance </w:t>
            </w:r>
            <w:r w:rsidR="00085C8D">
              <w:rPr>
                <w:rFonts w:eastAsia="Verdana" w:cs="Arial"/>
                <w:color w:val="000000" w:themeColor="text1"/>
                <w:kern w:val="24"/>
                <w:sz w:val="18"/>
                <w:szCs w:val="18"/>
              </w:rPr>
              <w:t>E</w:t>
            </w:r>
            <w:r w:rsidR="00085C8D" w:rsidRPr="00270BD5">
              <w:rPr>
                <w:rFonts w:eastAsia="Verdana" w:cs="Arial"/>
                <w:color w:val="000000" w:themeColor="text1"/>
                <w:kern w:val="24"/>
                <w:sz w:val="18"/>
                <w:szCs w:val="18"/>
              </w:rPr>
              <w:t xml:space="preserve">nterprise </w:t>
            </w:r>
            <w:r w:rsidR="00085C8D">
              <w:rPr>
                <w:rFonts w:eastAsia="Verdana" w:cs="Arial"/>
                <w:color w:val="000000" w:themeColor="text1"/>
                <w:kern w:val="24"/>
                <w:sz w:val="18"/>
                <w:szCs w:val="18"/>
              </w:rPr>
              <w:t>G</w:t>
            </w:r>
            <w:r w:rsidR="00085C8D" w:rsidRPr="00270BD5">
              <w:rPr>
                <w:rFonts w:eastAsia="Verdana" w:cs="Arial"/>
                <w:color w:val="000000" w:themeColor="text1"/>
                <w:kern w:val="24"/>
                <w:sz w:val="18"/>
                <w:szCs w:val="18"/>
              </w:rPr>
              <w:t xml:space="preserve">roup </w:t>
            </w:r>
            <w:r w:rsidR="00FC6B9F" w:rsidRPr="00270BD5">
              <w:rPr>
                <w:rFonts w:eastAsia="Verdana" w:cs="Arial"/>
                <w:color w:val="000000" w:themeColor="text1"/>
                <w:kern w:val="24"/>
                <w:sz w:val="18"/>
                <w:szCs w:val="18"/>
              </w:rPr>
              <w:t>finance structure. Structur</w:t>
            </w:r>
            <w:r>
              <w:rPr>
                <w:rFonts w:eastAsia="Verdana" w:cs="Arial"/>
                <w:color w:val="000000" w:themeColor="text1"/>
                <w:kern w:val="24"/>
                <w:sz w:val="18"/>
                <w:szCs w:val="18"/>
              </w:rPr>
              <w:t>e</w:t>
            </w:r>
            <w:r w:rsidR="00FC6B9F" w:rsidRPr="00270BD5">
              <w:rPr>
                <w:rFonts w:eastAsia="Verdana" w:cs="Arial"/>
                <w:color w:val="000000" w:themeColor="text1"/>
                <w:kern w:val="24"/>
                <w:sz w:val="18"/>
                <w:szCs w:val="18"/>
              </w:rPr>
              <w:t xml:space="preserve"> relations can be used to define validation rules for each relation between dimensions and values within that dimension.</w:t>
            </w:r>
          </w:p>
        </w:tc>
      </w:tr>
    </w:tbl>
    <w:p w14:paraId="28F5F91B" w14:textId="77777777" w:rsidR="00270BD5" w:rsidRPr="00EE6B8C" w:rsidRDefault="00270BD5" w:rsidP="00270473">
      <w:pPr>
        <w:pStyle w:val="Heading2"/>
      </w:pPr>
      <w:bookmarkStart w:id="76" w:name="_Toc68532169"/>
      <w:r>
        <w:t>Dimension Code Elements</w:t>
      </w:r>
      <w:bookmarkEnd w:id="76"/>
    </w:p>
    <w:tbl>
      <w:tblPr>
        <w:tblStyle w:val="TableGrid"/>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544"/>
        <w:gridCol w:w="2946"/>
        <w:gridCol w:w="1123"/>
        <w:gridCol w:w="2677"/>
        <w:gridCol w:w="1070"/>
      </w:tblGrid>
      <w:tr w:rsidR="00006F1F" w:rsidRPr="00851067" w14:paraId="5063343F" w14:textId="77777777" w:rsidTr="00126B82">
        <w:trPr>
          <w:trHeight w:val="790"/>
          <w:tblHeader/>
        </w:trPr>
        <w:tc>
          <w:tcPr>
            <w:tcW w:w="1544" w:type="dxa"/>
            <w:shd w:val="clear" w:color="auto" w:fill="092F57"/>
            <w:noWrap/>
            <w:vAlign w:val="center"/>
            <w:hideMark/>
          </w:tcPr>
          <w:p w14:paraId="7F625A45" w14:textId="77777777" w:rsidR="00A44C7B" w:rsidRPr="00A44C7B" w:rsidRDefault="00A44C7B" w:rsidP="00126B82">
            <w:pPr>
              <w:spacing w:before="60" w:after="60"/>
              <w:jc w:val="center"/>
              <w:rPr>
                <w:rFonts w:eastAsia="Verdana" w:cs="Arial"/>
                <w:b/>
                <w:bCs/>
                <w:color w:val="FFFFFF" w:themeColor="background1"/>
                <w:kern w:val="24"/>
                <w:sz w:val="18"/>
                <w:szCs w:val="18"/>
              </w:rPr>
            </w:pPr>
            <w:r w:rsidRPr="000348AF">
              <w:rPr>
                <w:rFonts w:eastAsia="Verdana" w:cs="Arial"/>
                <w:b/>
                <w:bCs/>
                <w:color w:val="FFFFFF" w:themeColor="background1"/>
                <w:kern w:val="24"/>
                <w:sz w:val="18"/>
                <w:szCs w:val="18"/>
              </w:rPr>
              <w:t>Dimension</w:t>
            </w:r>
          </w:p>
        </w:tc>
        <w:tc>
          <w:tcPr>
            <w:tcW w:w="2946" w:type="dxa"/>
            <w:shd w:val="clear" w:color="auto" w:fill="092F57"/>
            <w:noWrap/>
            <w:vAlign w:val="center"/>
            <w:hideMark/>
          </w:tcPr>
          <w:p w14:paraId="7B2E049F" w14:textId="77777777" w:rsidR="00A44C7B" w:rsidRPr="00A44C7B" w:rsidRDefault="00A44C7B" w:rsidP="00126B82">
            <w:pPr>
              <w:spacing w:before="60" w:after="6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Hierarchy</w:t>
            </w:r>
          </w:p>
        </w:tc>
        <w:tc>
          <w:tcPr>
            <w:tcW w:w="1123" w:type="dxa"/>
            <w:shd w:val="clear" w:color="auto" w:fill="092F57"/>
            <w:vAlign w:val="center"/>
            <w:hideMark/>
          </w:tcPr>
          <w:p w14:paraId="2F7435D5" w14:textId="77777777" w:rsidR="00A44C7B" w:rsidRPr="00006F1F" w:rsidRDefault="00A44C7B" w:rsidP="00126B82">
            <w:pPr>
              <w:spacing w:before="60" w:after="60"/>
              <w:jc w:val="center"/>
              <w:rPr>
                <w:rFonts w:eastAsia="Verdana" w:cs="Arial"/>
                <w:b/>
                <w:bCs/>
                <w:color w:val="FFFFFF" w:themeColor="background1"/>
                <w:kern w:val="24"/>
                <w:sz w:val="18"/>
                <w:szCs w:val="18"/>
              </w:rPr>
            </w:pPr>
            <w:r w:rsidRPr="00006F1F">
              <w:rPr>
                <w:rFonts w:eastAsia="Verdana" w:cs="Arial"/>
                <w:b/>
                <w:bCs/>
                <w:color w:val="FFFFFF" w:themeColor="background1"/>
                <w:kern w:val="24"/>
                <w:sz w:val="18"/>
                <w:szCs w:val="18"/>
              </w:rPr>
              <w:t>Character Length</w:t>
            </w:r>
          </w:p>
        </w:tc>
        <w:tc>
          <w:tcPr>
            <w:tcW w:w="2677" w:type="dxa"/>
            <w:shd w:val="clear" w:color="auto" w:fill="092F57"/>
            <w:noWrap/>
            <w:vAlign w:val="center"/>
            <w:hideMark/>
          </w:tcPr>
          <w:p w14:paraId="1841FFC7" w14:textId="77777777" w:rsidR="00A44C7B" w:rsidRPr="00A44C7B" w:rsidRDefault="00A44C7B" w:rsidP="00126B82">
            <w:pPr>
              <w:spacing w:before="60" w:after="6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Code Type</w:t>
            </w:r>
          </w:p>
        </w:tc>
        <w:tc>
          <w:tcPr>
            <w:tcW w:w="1070" w:type="dxa"/>
            <w:shd w:val="clear" w:color="auto" w:fill="092F57"/>
            <w:vAlign w:val="center"/>
            <w:hideMark/>
          </w:tcPr>
          <w:p w14:paraId="36FE2F23" w14:textId="77777777" w:rsidR="00A44C7B" w:rsidRPr="00A44C7B" w:rsidRDefault="00A44C7B" w:rsidP="00126B82">
            <w:pPr>
              <w:spacing w:before="60" w:after="60"/>
              <w:jc w:val="center"/>
              <w:rPr>
                <w:rFonts w:eastAsia="Verdana" w:cs="Arial"/>
                <w:b/>
                <w:bCs/>
                <w:color w:val="FFFFFF" w:themeColor="background1"/>
                <w:kern w:val="24"/>
                <w:sz w:val="18"/>
                <w:szCs w:val="18"/>
              </w:rPr>
            </w:pPr>
            <w:r w:rsidRPr="00A44C7B">
              <w:rPr>
                <w:rFonts w:eastAsia="Verdana" w:cs="Arial"/>
                <w:b/>
                <w:bCs/>
                <w:color w:val="FFFFFF" w:themeColor="background1"/>
                <w:kern w:val="24"/>
                <w:sz w:val="18"/>
                <w:szCs w:val="18"/>
              </w:rPr>
              <w:t>Centrally or Agency Defined?</w:t>
            </w:r>
          </w:p>
        </w:tc>
      </w:tr>
      <w:tr w:rsidR="00006F1F" w:rsidRPr="00851067" w14:paraId="27159AE7" w14:textId="77777777" w:rsidTr="00126B82">
        <w:trPr>
          <w:trHeight w:val="290"/>
        </w:trPr>
        <w:tc>
          <w:tcPr>
            <w:tcW w:w="1544" w:type="dxa"/>
            <w:noWrap/>
            <w:vAlign w:val="center"/>
            <w:hideMark/>
          </w:tcPr>
          <w:p w14:paraId="08D82942" w14:textId="77777777" w:rsidR="00A44C7B" w:rsidRPr="00851067" w:rsidRDefault="00A44C7B" w:rsidP="00126B82">
            <w:pPr>
              <w:spacing w:before="60" w:after="60"/>
              <w:rPr>
                <w:rFonts w:cs="Arial"/>
                <w:b/>
                <w:color w:val="000000"/>
                <w:sz w:val="18"/>
                <w:szCs w:val="18"/>
              </w:rPr>
            </w:pPr>
            <w:r w:rsidRPr="00851067">
              <w:rPr>
                <w:rFonts w:cs="Arial"/>
                <w:b/>
                <w:color w:val="000000"/>
                <w:sz w:val="18"/>
                <w:szCs w:val="18"/>
              </w:rPr>
              <w:t>Agency</w:t>
            </w:r>
          </w:p>
        </w:tc>
        <w:tc>
          <w:tcPr>
            <w:tcW w:w="2946" w:type="dxa"/>
            <w:noWrap/>
            <w:vAlign w:val="center"/>
            <w:hideMark/>
          </w:tcPr>
          <w:p w14:paraId="67B390AE" w14:textId="77777777" w:rsidR="00A44C7B" w:rsidRPr="00851067" w:rsidRDefault="00A44C7B" w:rsidP="00126B82">
            <w:pPr>
              <w:spacing w:before="60" w:after="60"/>
              <w:rPr>
                <w:rFonts w:cs="Arial"/>
                <w:color w:val="000000"/>
                <w:sz w:val="18"/>
                <w:szCs w:val="18"/>
              </w:rPr>
            </w:pPr>
            <w:r w:rsidRPr="00851067">
              <w:rPr>
                <w:rFonts w:cs="Arial"/>
                <w:color w:val="000000"/>
                <w:sz w:val="18"/>
                <w:szCs w:val="18"/>
              </w:rPr>
              <w:t>Agency</w:t>
            </w:r>
          </w:p>
        </w:tc>
        <w:tc>
          <w:tcPr>
            <w:tcW w:w="1123" w:type="dxa"/>
            <w:noWrap/>
            <w:vAlign w:val="center"/>
            <w:hideMark/>
          </w:tcPr>
          <w:p w14:paraId="6EC25CE4" w14:textId="77777777" w:rsidR="00A44C7B" w:rsidRPr="00006F1F" w:rsidRDefault="00A44C7B" w:rsidP="00126B82">
            <w:pPr>
              <w:spacing w:before="60" w:after="60"/>
              <w:jc w:val="center"/>
              <w:rPr>
                <w:rFonts w:cs="Arial"/>
                <w:color w:val="000000"/>
                <w:sz w:val="18"/>
                <w:szCs w:val="18"/>
              </w:rPr>
            </w:pPr>
            <w:r w:rsidRPr="00006F1F">
              <w:rPr>
                <w:rFonts w:cs="Arial"/>
                <w:color w:val="000000"/>
                <w:sz w:val="18"/>
                <w:szCs w:val="18"/>
              </w:rPr>
              <w:t>3</w:t>
            </w:r>
          </w:p>
        </w:tc>
        <w:tc>
          <w:tcPr>
            <w:tcW w:w="2677" w:type="dxa"/>
            <w:noWrap/>
            <w:vAlign w:val="center"/>
            <w:hideMark/>
          </w:tcPr>
          <w:p w14:paraId="3172966F" w14:textId="77777777" w:rsidR="00A44C7B" w:rsidRPr="00851067" w:rsidRDefault="00A44C7B" w:rsidP="00126B82">
            <w:pPr>
              <w:spacing w:before="60" w:after="60"/>
              <w:rPr>
                <w:rFonts w:cs="Arial"/>
                <w:color w:val="000000"/>
                <w:sz w:val="18"/>
                <w:szCs w:val="18"/>
              </w:rPr>
            </w:pPr>
            <w:r>
              <w:rPr>
                <w:rFonts w:cs="Arial"/>
                <w:color w:val="000000"/>
                <w:sz w:val="18"/>
                <w:szCs w:val="18"/>
              </w:rPr>
              <w:t>Integer</w:t>
            </w:r>
          </w:p>
        </w:tc>
        <w:tc>
          <w:tcPr>
            <w:tcW w:w="1070" w:type="dxa"/>
            <w:noWrap/>
            <w:vAlign w:val="center"/>
            <w:hideMark/>
          </w:tcPr>
          <w:p w14:paraId="1401E0B1" w14:textId="77777777" w:rsidR="00A44C7B" w:rsidRPr="00851067" w:rsidRDefault="00A44C7B" w:rsidP="00126B82">
            <w:pPr>
              <w:spacing w:before="60" w:after="60"/>
              <w:rPr>
                <w:rFonts w:cs="Arial"/>
                <w:color w:val="000000"/>
                <w:sz w:val="18"/>
                <w:szCs w:val="18"/>
              </w:rPr>
            </w:pPr>
            <w:r w:rsidRPr="00851067">
              <w:rPr>
                <w:rFonts w:cs="Arial"/>
                <w:color w:val="000000"/>
                <w:sz w:val="18"/>
                <w:szCs w:val="18"/>
              </w:rPr>
              <w:t>Centrally</w:t>
            </w:r>
          </w:p>
        </w:tc>
      </w:tr>
      <w:tr w:rsidR="00006F1F" w:rsidRPr="00851067" w14:paraId="69221A3D" w14:textId="77777777" w:rsidTr="00126B82">
        <w:trPr>
          <w:trHeight w:val="791"/>
        </w:trPr>
        <w:tc>
          <w:tcPr>
            <w:tcW w:w="1544" w:type="dxa"/>
            <w:noWrap/>
            <w:vAlign w:val="center"/>
            <w:hideMark/>
          </w:tcPr>
          <w:p w14:paraId="02E45707" w14:textId="77777777" w:rsidR="00A44C7B" w:rsidRPr="00851067" w:rsidRDefault="00A44C7B" w:rsidP="00126B82">
            <w:pPr>
              <w:spacing w:before="60" w:after="60"/>
              <w:rPr>
                <w:rFonts w:cs="Arial"/>
                <w:b/>
                <w:color w:val="000000"/>
                <w:sz w:val="18"/>
                <w:szCs w:val="18"/>
              </w:rPr>
            </w:pPr>
            <w:r w:rsidRPr="00851067">
              <w:rPr>
                <w:rFonts w:cs="Arial"/>
                <w:b/>
                <w:color w:val="000000"/>
                <w:sz w:val="18"/>
                <w:szCs w:val="18"/>
              </w:rPr>
              <w:t>Project</w:t>
            </w:r>
          </w:p>
        </w:tc>
        <w:tc>
          <w:tcPr>
            <w:tcW w:w="2946" w:type="dxa"/>
            <w:vAlign w:val="center"/>
            <w:hideMark/>
          </w:tcPr>
          <w:p w14:paraId="0CEB697C" w14:textId="53136735" w:rsidR="00A44C7B" w:rsidRPr="00851067" w:rsidRDefault="00A44C7B" w:rsidP="00126B82">
            <w:pPr>
              <w:spacing w:before="60" w:after="60"/>
              <w:rPr>
                <w:rFonts w:cs="Arial"/>
                <w:color w:val="000000"/>
                <w:sz w:val="18"/>
                <w:szCs w:val="18"/>
              </w:rPr>
            </w:pPr>
            <w:r w:rsidRPr="00851067">
              <w:rPr>
                <w:rFonts w:cs="Arial"/>
                <w:color w:val="000000"/>
                <w:sz w:val="18"/>
                <w:szCs w:val="18"/>
              </w:rPr>
              <w:t>Project Level 1</w:t>
            </w:r>
            <w:r w:rsidR="00292378">
              <w:rPr>
                <w:rFonts w:cs="Arial"/>
                <w:color w:val="000000"/>
                <w:sz w:val="18"/>
                <w:szCs w:val="18"/>
              </w:rPr>
              <w:t xml:space="preserve"> (Agency)</w:t>
            </w:r>
            <w:r w:rsidRPr="00851067">
              <w:rPr>
                <w:rFonts w:cs="Arial"/>
                <w:color w:val="000000"/>
                <w:sz w:val="18"/>
                <w:szCs w:val="18"/>
              </w:rPr>
              <w:br/>
              <w:t>Project Level 2</w:t>
            </w:r>
            <w:r w:rsidR="00ED734C">
              <w:rPr>
                <w:rFonts w:cs="Arial"/>
                <w:color w:val="000000"/>
                <w:sz w:val="18"/>
                <w:szCs w:val="18"/>
              </w:rPr>
              <w:t>+</w:t>
            </w:r>
          </w:p>
        </w:tc>
        <w:tc>
          <w:tcPr>
            <w:tcW w:w="1123" w:type="dxa"/>
            <w:vAlign w:val="center"/>
            <w:hideMark/>
          </w:tcPr>
          <w:p w14:paraId="3E3A6788" w14:textId="0902BFAE" w:rsidR="00A44C7B" w:rsidRPr="00006F1F" w:rsidRDefault="00B85377" w:rsidP="00126B82">
            <w:pPr>
              <w:spacing w:before="60" w:after="60"/>
              <w:jc w:val="center"/>
              <w:rPr>
                <w:rFonts w:cs="Arial"/>
                <w:color w:val="000000"/>
                <w:sz w:val="18"/>
                <w:szCs w:val="18"/>
              </w:rPr>
            </w:pPr>
            <w:r w:rsidRPr="00006F1F">
              <w:rPr>
                <w:rFonts w:cs="Arial"/>
                <w:color w:val="000000"/>
                <w:sz w:val="18"/>
                <w:szCs w:val="18"/>
              </w:rPr>
              <w:t>3</w:t>
            </w:r>
            <w:r w:rsidR="00A44C7B" w:rsidRPr="00006F1F">
              <w:rPr>
                <w:rFonts w:cs="Arial"/>
                <w:color w:val="000000"/>
                <w:sz w:val="18"/>
                <w:szCs w:val="18"/>
              </w:rPr>
              <w:br/>
              <w:t>4-</w:t>
            </w:r>
            <w:r w:rsidR="00A43AF8" w:rsidRPr="00006F1F">
              <w:rPr>
                <w:rFonts w:cs="Arial"/>
                <w:color w:val="000000"/>
                <w:sz w:val="18"/>
                <w:szCs w:val="18"/>
              </w:rPr>
              <w:t>25</w:t>
            </w:r>
          </w:p>
        </w:tc>
        <w:tc>
          <w:tcPr>
            <w:tcW w:w="2677" w:type="dxa"/>
            <w:vAlign w:val="center"/>
            <w:hideMark/>
          </w:tcPr>
          <w:p w14:paraId="61A2A0B1" w14:textId="5262126A" w:rsidR="00A44C7B" w:rsidRPr="00851067" w:rsidRDefault="00ED734C" w:rsidP="00126B82">
            <w:pPr>
              <w:spacing w:before="60" w:after="60"/>
              <w:rPr>
                <w:rFonts w:cs="Arial"/>
                <w:color w:val="000000"/>
                <w:sz w:val="18"/>
                <w:szCs w:val="18"/>
              </w:rPr>
            </w:pPr>
            <w:r>
              <w:rPr>
                <w:rFonts w:cs="Arial"/>
                <w:color w:val="000000"/>
                <w:sz w:val="18"/>
                <w:szCs w:val="18"/>
              </w:rPr>
              <w:t>Integer</w:t>
            </w:r>
            <w:r w:rsidR="00A44C7B" w:rsidRPr="00851067">
              <w:rPr>
                <w:rFonts w:cs="Arial"/>
                <w:color w:val="000000"/>
                <w:sz w:val="18"/>
                <w:szCs w:val="18"/>
              </w:rPr>
              <w:br/>
              <w:t>Agency + Alphanumeric</w:t>
            </w:r>
          </w:p>
        </w:tc>
        <w:tc>
          <w:tcPr>
            <w:tcW w:w="1070" w:type="dxa"/>
            <w:vAlign w:val="center"/>
            <w:hideMark/>
          </w:tcPr>
          <w:p w14:paraId="36FB7E1E" w14:textId="3D383071" w:rsidR="00A44C7B" w:rsidRPr="00851067" w:rsidRDefault="00ED734C" w:rsidP="00126B82">
            <w:pPr>
              <w:spacing w:before="60" w:after="60"/>
              <w:rPr>
                <w:rFonts w:cs="Arial"/>
                <w:color w:val="000000"/>
                <w:sz w:val="18"/>
                <w:szCs w:val="18"/>
              </w:rPr>
            </w:pPr>
            <w:r>
              <w:rPr>
                <w:rFonts w:cs="Arial"/>
                <w:color w:val="000000"/>
                <w:sz w:val="18"/>
                <w:szCs w:val="18"/>
              </w:rPr>
              <w:t>Centrally</w:t>
            </w:r>
            <w:r w:rsidR="00A44C7B" w:rsidRPr="00851067">
              <w:rPr>
                <w:rFonts w:cs="Arial"/>
                <w:color w:val="000000"/>
                <w:sz w:val="18"/>
                <w:szCs w:val="18"/>
              </w:rPr>
              <w:br/>
              <w:t>Agency</w:t>
            </w:r>
          </w:p>
        </w:tc>
      </w:tr>
      <w:tr w:rsidR="00006F1F" w:rsidRPr="00851067" w14:paraId="5264B3E5" w14:textId="77777777" w:rsidTr="00126B82">
        <w:trPr>
          <w:trHeight w:val="1020"/>
        </w:trPr>
        <w:tc>
          <w:tcPr>
            <w:tcW w:w="1544" w:type="dxa"/>
            <w:noWrap/>
            <w:vAlign w:val="center"/>
            <w:hideMark/>
          </w:tcPr>
          <w:p w14:paraId="5C559217" w14:textId="77777777" w:rsidR="00A44C7B" w:rsidRPr="00851067" w:rsidRDefault="00A44C7B" w:rsidP="00126B82">
            <w:pPr>
              <w:spacing w:before="60" w:after="60"/>
              <w:rPr>
                <w:rFonts w:cs="Arial"/>
                <w:b/>
                <w:color w:val="000000"/>
                <w:sz w:val="18"/>
                <w:szCs w:val="18"/>
              </w:rPr>
            </w:pPr>
            <w:r w:rsidRPr="00851067">
              <w:rPr>
                <w:rFonts w:cs="Arial"/>
                <w:b/>
                <w:color w:val="000000"/>
                <w:sz w:val="18"/>
                <w:szCs w:val="18"/>
              </w:rPr>
              <w:t>Organizational Unit</w:t>
            </w:r>
          </w:p>
        </w:tc>
        <w:tc>
          <w:tcPr>
            <w:tcW w:w="2946" w:type="dxa"/>
            <w:vAlign w:val="center"/>
            <w:hideMark/>
          </w:tcPr>
          <w:p w14:paraId="1D8B4B68" w14:textId="6D885735" w:rsidR="001C56D8" w:rsidRDefault="001C56D8" w:rsidP="00126B82">
            <w:pPr>
              <w:spacing w:before="60" w:after="60"/>
              <w:rPr>
                <w:rFonts w:cs="Arial"/>
                <w:color w:val="000000"/>
                <w:sz w:val="18"/>
                <w:szCs w:val="18"/>
              </w:rPr>
            </w:pPr>
            <w:r>
              <w:rPr>
                <w:rFonts w:cs="Arial"/>
                <w:color w:val="000000"/>
                <w:sz w:val="18"/>
                <w:szCs w:val="18"/>
              </w:rPr>
              <w:t>Entity</w:t>
            </w:r>
          </w:p>
          <w:p w14:paraId="59D266D4" w14:textId="0E4F9171" w:rsidR="00A44C7B" w:rsidRDefault="00A44C7B" w:rsidP="00126B82">
            <w:pPr>
              <w:spacing w:before="60" w:after="60"/>
              <w:rPr>
                <w:rFonts w:cs="Arial"/>
                <w:color w:val="000000"/>
                <w:sz w:val="18"/>
                <w:szCs w:val="18"/>
              </w:rPr>
            </w:pPr>
            <w:r w:rsidRPr="00851067">
              <w:rPr>
                <w:rFonts w:cs="Arial"/>
                <w:color w:val="000000"/>
                <w:sz w:val="18"/>
                <w:szCs w:val="18"/>
              </w:rPr>
              <w:t>Division</w:t>
            </w:r>
            <w:r w:rsidRPr="00851067">
              <w:rPr>
                <w:rFonts w:cs="Arial"/>
                <w:color w:val="000000"/>
                <w:sz w:val="18"/>
                <w:szCs w:val="18"/>
              </w:rPr>
              <w:br/>
              <w:t>Bureau</w:t>
            </w:r>
            <w:r w:rsidRPr="00851067">
              <w:rPr>
                <w:rFonts w:cs="Arial"/>
                <w:color w:val="000000"/>
                <w:sz w:val="18"/>
                <w:szCs w:val="18"/>
              </w:rPr>
              <w:br/>
              <w:t>Section</w:t>
            </w:r>
          </w:p>
          <w:p w14:paraId="77BFB11F" w14:textId="77777777" w:rsidR="00A44C7B" w:rsidRPr="00851067" w:rsidRDefault="00A44C7B" w:rsidP="00126B82">
            <w:pPr>
              <w:spacing w:before="60" w:after="60"/>
              <w:rPr>
                <w:rFonts w:cs="Arial"/>
                <w:color w:val="000000"/>
                <w:sz w:val="18"/>
                <w:szCs w:val="18"/>
              </w:rPr>
            </w:pPr>
            <w:r>
              <w:rPr>
                <w:rFonts w:cs="Arial"/>
                <w:color w:val="000000"/>
                <w:sz w:val="18"/>
                <w:szCs w:val="18"/>
              </w:rPr>
              <w:t xml:space="preserve">Level </w:t>
            </w:r>
            <w:r w:rsidRPr="00851067">
              <w:rPr>
                <w:rFonts w:cs="Arial"/>
                <w:color w:val="000000"/>
                <w:sz w:val="18"/>
                <w:szCs w:val="18"/>
              </w:rPr>
              <w:t>∞</w:t>
            </w:r>
            <w:r w:rsidRPr="00851067">
              <w:rPr>
                <w:rFonts w:cs="Arial"/>
                <w:color w:val="000000"/>
                <w:sz w:val="18"/>
                <w:szCs w:val="18"/>
              </w:rPr>
              <w:br/>
              <w:t>Cost Center</w:t>
            </w:r>
          </w:p>
        </w:tc>
        <w:tc>
          <w:tcPr>
            <w:tcW w:w="1123" w:type="dxa"/>
            <w:vAlign w:val="center"/>
            <w:hideMark/>
          </w:tcPr>
          <w:p w14:paraId="6B36CCB6" w14:textId="2706B352" w:rsidR="001C56D8" w:rsidRPr="00006F1F" w:rsidRDefault="00B749BE" w:rsidP="00126B82">
            <w:pPr>
              <w:spacing w:before="60" w:after="60"/>
              <w:jc w:val="center"/>
              <w:rPr>
                <w:rFonts w:cs="Arial"/>
                <w:color w:val="000000"/>
                <w:sz w:val="18"/>
                <w:szCs w:val="18"/>
              </w:rPr>
            </w:pPr>
            <w:r w:rsidRPr="00006F1F">
              <w:rPr>
                <w:rFonts w:cs="Arial"/>
                <w:color w:val="000000"/>
                <w:sz w:val="18"/>
                <w:szCs w:val="18"/>
              </w:rPr>
              <w:t>9</w:t>
            </w:r>
          </w:p>
          <w:p w14:paraId="0FFAF7DD" w14:textId="6E0259AA" w:rsidR="00A44C7B" w:rsidRPr="00006F1F" w:rsidRDefault="00A44C7B" w:rsidP="00126B82">
            <w:pPr>
              <w:spacing w:before="60" w:after="60"/>
              <w:jc w:val="center"/>
              <w:rPr>
                <w:rFonts w:cs="Arial"/>
                <w:color w:val="000000"/>
                <w:sz w:val="18"/>
                <w:szCs w:val="18"/>
              </w:rPr>
            </w:pPr>
            <w:r w:rsidRPr="00006F1F">
              <w:rPr>
                <w:rFonts w:cs="Arial"/>
                <w:color w:val="000000"/>
                <w:sz w:val="18"/>
                <w:szCs w:val="18"/>
              </w:rPr>
              <w:t>1-15</w:t>
            </w:r>
            <w:r w:rsidRPr="00006F1F">
              <w:rPr>
                <w:rFonts w:cs="Arial"/>
                <w:color w:val="000000"/>
                <w:sz w:val="18"/>
                <w:szCs w:val="18"/>
              </w:rPr>
              <w:br/>
              <w:t>2-15</w:t>
            </w:r>
            <w:r w:rsidRPr="00006F1F">
              <w:rPr>
                <w:rFonts w:cs="Arial"/>
                <w:color w:val="000000"/>
                <w:sz w:val="18"/>
                <w:szCs w:val="18"/>
              </w:rPr>
              <w:br/>
              <w:t>3-15</w:t>
            </w:r>
            <w:r w:rsidRPr="00006F1F">
              <w:rPr>
                <w:rFonts w:cs="Arial"/>
                <w:color w:val="000000"/>
                <w:sz w:val="18"/>
                <w:szCs w:val="18"/>
              </w:rPr>
              <w:br/>
              <w:t>4-15</w:t>
            </w:r>
          </w:p>
          <w:p w14:paraId="2A0387AB" w14:textId="77777777" w:rsidR="00A44C7B" w:rsidRPr="00006F1F" w:rsidRDefault="00AC398B" w:rsidP="00126B82">
            <w:pPr>
              <w:spacing w:before="60" w:after="60"/>
              <w:jc w:val="center"/>
              <w:rPr>
                <w:rFonts w:cs="Arial"/>
                <w:color w:val="000000"/>
                <w:sz w:val="18"/>
                <w:szCs w:val="18"/>
              </w:rPr>
            </w:pPr>
            <w:r w:rsidRPr="00006F1F">
              <w:rPr>
                <w:rFonts w:cs="Arial"/>
                <w:color w:val="000000"/>
                <w:sz w:val="18"/>
                <w:szCs w:val="18"/>
              </w:rPr>
              <w:t>3</w:t>
            </w:r>
            <w:r w:rsidR="00A44C7B" w:rsidRPr="00006F1F">
              <w:rPr>
                <w:rFonts w:cs="Arial"/>
                <w:color w:val="000000"/>
                <w:sz w:val="18"/>
                <w:szCs w:val="18"/>
              </w:rPr>
              <w:t>-15</w:t>
            </w:r>
          </w:p>
        </w:tc>
        <w:tc>
          <w:tcPr>
            <w:tcW w:w="2677" w:type="dxa"/>
            <w:vAlign w:val="center"/>
            <w:hideMark/>
          </w:tcPr>
          <w:p w14:paraId="61D4A361" w14:textId="3E96DBDC" w:rsidR="001C56D8" w:rsidRDefault="00B749BE" w:rsidP="00126B82">
            <w:pPr>
              <w:spacing w:before="60" w:after="60"/>
              <w:rPr>
                <w:rFonts w:cs="Arial"/>
                <w:color w:val="000000"/>
                <w:sz w:val="18"/>
                <w:szCs w:val="18"/>
              </w:rPr>
            </w:pPr>
            <w:r>
              <w:rPr>
                <w:rFonts w:cs="Arial"/>
                <w:color w:val="000000"/>
                <w:sz w:val="18"/>
                <w:szCs w:val="18"/>
              </w:rPr>
              <w:t>Alphanumeric</w:t>
            </w:r>
            <w:r w:rsidR="00FF16C8">
              <w:rPr>
                <w:rFonts w:cs="Arial"/>
                <w:color w:val="000000"/>
                <w:sz w:val="18"/>
                <w:szCs w:val="18"/>
              </w:rPr>
              <w:t xml:space="preserve"> (</w:t>
            </w:r>
            <w:proofErr w:type="spellStart"/>
            <w:r w:rsidR="00FF16C8">
              <w:rPr>
                <w:rFonts w:cs="Arial"/>
                <w:color w:val="000000"/>
                <w:sz w:val="18"/>
                <w:szCs w:val="18"/>
              </w:rPr>
              <w:t>Agency</w:t>
            </w:r>
            <w:r w:rsidR="00D57F95">
              <w:rPr>
                <w:rFonts w:cs="Arial"/>
                <w:color w:val="000000"/>
                <w:sz w:val="18"/>
                <w:szCs w:val="18"/>
              </w:rPr>
              <w:t>+</w:t>
            </w:r>
            <w:r w:rsidR="001C28F1">
              <w:rPr>
                <w:rFonts w:cs="Arial"/>
                <w:color w:val="000000"/>
                <w:sz w:val="18"/>
                <w:szCs w:val="18"/>
              </w:rPr>
              <w:t>’ENTITY</w:t>
            </w:r>
            <w:proofErr w:type="spellEnd"/>
            <w:r w:rsidR="001C28F1">
              <w:rPr>
                <w:rFonts w:cs="Arial"/>
                <w:color w:val="000000"/>
                <w:sz w:val="18"/>
                <w:szCs w:val="18"/>
              </w:rPr>
              <w:t>’)</w:t>
            </w:r>
          </w:p>
          <w:p w14:paraId="64786F4E" w14:textId="63662CE1" w:rsidR="00A44C7B" w:rsidRDefault="00A44C7B" w:rsidP="00126B82">
            <w:pPr>
              <w:spacing w:before="60" w:after="60"/>
              <w:rPr>
                <w:rFonts w:cs="Arial"/>
                <w:color w:val="000000"/>
                <w:sz w:val="18"/>
                <w:szCs w:val="18"/>
              </w:rPr>
            </w:pP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p>
          <w:p w14:paraId="7B52E869" w14:textId="77777777" w:rsidR="00A44C7B" w:rsidRPr="00851067" w:rsidRDefault="00A44C7B" w:rsidP="00126B82">
            <w:pPr>
              <w:spacing w:before="60" w:after="60"/>
              <w:rPr>
                <w:rFonts w:cs="Arial"/>
                <w:color w:val="000000"/>
                <w:sz w:val="18"/>
                <w:szCs w:val="18"/>
              </w:rPr>
            </w:pPr>
            <w:r>
              <w:rPr>
                <w:rFonts w:cs="Arial"/>
                <w:color w:val="000000"/>
                <w:sz w:val="18"/>
                <w:szCs w:val="18"/>
              </w:rPr>
              <w:t>Integer</w:t>
            </w:r>
          </w:p>
        </w:tc>
        <w:tc>
          <w:tcPr>
            <w:tcW w:w="1070" w:type="dxa"/>
            <w:vAlign w:val="center"/>
            <w:hideMark/>
          </w:tcPr>
          <w:p w14:paraId="37DDBCFC" w14:textId="104F1A43" w:rsidR="001C56D8" w:rsidRDefault="001C56D8" w:rsidP="00126B82">
            <w:pPr>
              <w:spacing w:before="60" w:after="60"/>
              <w:rPr>
                <w:rFonts w:cs="Arial"/>
                <w:color w:val="000000"/>
                <w:sz w:val="18"/>
                <w:szCs w:val="18"/>
              </w:rPr>
            </w:pPr>
            <w:r>
              <w:rPr>
                <w:rFonts w:cs="Arial"/>
                <w:color w:val="000000"/>
                <w:sz w:val="18"/>
                <w:szCs w:val="18"/>
              </w:rPr>
              <w:t>Centrally</w:t>
            </w:r>
          </w:p>
          <w:p w14:paraId="36AB059F" w14:textId="3E7F61F5" w:rsidR="00A44C7B" w:rsidRDefault="00A44C7B" w:rsidP="00126B82">
            <w:pPr>
              <w:spacing w:before="60" w:after="60"/>
              <w:rPr>
                <w:rFonts w:cs="Arial"/>
                <w:color w:val="000000"/>
                <w:sz w:val="18"/>
                <w:szCs w:val="18"/>
              </w:rPr>
            </w:pPr>
            <w:r w:rsidRPr="00851067">
              <w:rPr>
                <w:rFonts w:cs="Arial"/>
                <w:color w:val="000000"/>
                <w:sz w:val="18"/>
                <w:szCs w:val="18"/>
              </w:rPr>
              <w:t>Agency</w:t>
            </w:r>
            <w:r w:rsidRPr="00851067">
              <w:rPr>
                <w:rFonts w:cs="Arial"/>
                <w:color w:val="000000"/>
                <w:sz w:val="18"/>
                <w:szCs w:val="18"/>
              </w:rPr>
              <w:br/>
              <w:t>Agency</w:t>
            </w:r>
            <w:r w:rsidRPr="00851067">
              <w:rPr>
                <w:rFonts w:cs="Arial"/>
                <w:color w:val="000000"/>
                <w:sz w:val="18"/>
                <w:szCs w:val="18"/>
              </w:rPr>
              <w:br/>
              <w:t>Agency</w:t>
            </w:r>
            <w:r w:rsidRPr="00851067">
              <w:rPr>
                <w:rFonts w:cs="Arial"/>
                <w:color w:val="000000"/>
                <w:sz w:val="18"/>
                <w:szCs w:val="18"/>
              </w:rPr>
              <w:br/>
              <w:t>Agency</w:t>
            </w:r>
          </w:p>
          <w:p w14:paraId="5A0379CE" w14:textId="77777777" w:rsidR="00A44C7B" w:rsidRPr="00851067" w:rsidRDefault="00A44C7B" w:rsidP="00126B82">
            <w:pPr>
              <w:spacing w:before="60" w:after="60"/>
              <w:rPr>
                <w:rFonts w:cs="Arial"/>
                <w:color w:val="000000"/>
                <w:sz w:val="18"/>
                <w:szCs w:val="18"/>
              </w:rPr>
            </w:pPr>
            <w:r>
              <w:rPr>
                <w:rFonts w:cs="Arial"/>
                <w:color w:val="000000"/>
                <w:sz w:val="18"/>
                <w:szCs w:val="18"/>
              </w:rPr>
              <w:t>Agency</w:t>
            </w:r>
          </w:p>
        </w:tc>
      </w:tr>
      <w:tr w:rsidR="00006F1F" w:rsidRPr="00851067" w14:paraId="7DE0B01D" w14:textId="77777777" w:rsidTr="00126B82">
        <w:trPr>
          <w:trHeight w:val="1020"/>
        </w:trPr>
        <w:tc>
          <w:tcPr>
            <w:tcW w:w="1544" w:type="dxa"/>
            <w:noWrap/>
            <w:vAlign w:val="center"/>
          </w:tcPr>
          <w:p w14:paraId="11EEDC7E" w14:textId="38657C19" w:rsidR="00950EAE" w:rsidRPr="00851067" w:rsidRDefault="00950EAE" w:rsidP="00126B82">
            <w:pPr>
              <w:spacing w:before="60" w:after="60"/>
              <w:rPr>
                <w:rFonts w:cs="Arial"/>
                <w:b/>
                <w:color w:val="000000"/>
                <w:sz w:val="18"/>
                <w:szCs w:val="18"/>
              </w:rPr>
            </w:pPr>
            <w:r w:rsidRPr="00851067">
              <w:rPr>
                <w:rFonts w:cs="Arial"/>
                <w:b/>
                <w:color w:val="000000"/>
                <w:sz w:val="18"/>
                <w:szCs w:val="18"/>
              </w:rPr>
              <w:t>Program</w:t>
            </w:r>
          </w:p>
        </w:tc>
        <w:tc>
          <w:tcPr>
            <w:tcW w:w="2946" w:type="dxa"/>
            <w:vAlign w:val="center"/>
          </w:tcPr>
          <w:p w14:paraId="138D7C02" w14:textId="4957CAD2" w:rsidR="00950EAE" w:rsidRPr="00851067" w:rsidRDefault="00950EAE" w:rsidP="00126B82">
            <w:pPr>
              <w:spacing w:before="60" w:after="60"/>
              <w:rPr>
                <w:rFonts w:cs="Arial"/>
                <w:color w:val="000000"/>
                <w:sz w:val="18"/>
                <w:szCs w:val="18"/>
              </w:rPr>
            </w:pPr>
            <w:r w:rsidRPr="00851067">
              <w:rPr>
                <w:rFonts w:cs="Arial"/>
                <w:color w:val="000000"/>
                <w:sz w:val="18"/>
                <w:szCs w:val="18"/>
              </w:rPr>
              <w:t>Program Level 1</w:t>
            </w:r>
            <w:r w:rsidR="00292378">
              <w:rPr>
                <w:rFonts w:cs="Arial"/>
                <w:color w:val="000000"/>
                <w:sz w:val="18"/>
                <w:szCs w:val="18"/>
              </w:rPr>
              <w:t xml:space="preserve"> (Agency)</w:t>
            </w:r>
            <w:r w:rsidRPr="00851067">
              <w:rPr>
                <w:rFonts w:cs="Arial"/>
                <w:color w:val="000000"/>
                <w:sz w:val="18"/>
                <w:szCs w:val="18"/>
              </w:rPr>
              <w:br/>
              <w:t>Program Level 2</w:t>
            </w:r>
            <w:r>
              <w:rPr>
                <w:rFonts w:cs="Arial"/>
                <w:color w:val="000000"/>
                <w:sz w:val="18"/>
                <w:szCs w:val="18"/>
              </w:rPr>
              <w:t>+</w:t>
            </w:r>
          </w:p>
        </w:tc>
        <w:tc>
          <w:tcPr>
            <w:tcW w:w="1123" w:type="dxa"/>
            <w:vAlign w:val="center"/>
          </w:tcPr>
          <w:p w14:paraId="35DB0EFA" w14:textId="73D32C15" w:rsidR="00950EAE" w:rsidRPr="00006F1F" w:rsidRDefault="00950EAE" w:rsidP="00126B82">
            <w:pPr>
              <w:spacing w:before="60" w:after="60"/>
              <w:jc w:val="center"/>
              <w:rPr>
                <w:rFonts w:cs="Arial"/>
                <w:color w:val="000000"/>
                <w:sz w:val="18"/>
                <w:szCs w:val="18"/>
              </w:rPr>
            </w:pPr>
            <w:r w:rsidRPr="00006F1F">
              <w:rPr>
                <w:rFonts w:cs="Arial"/>
                <w:color w:val="000000"/>
                <w:sz w:val="18"/>
                <w:szCs w:val="18"/>
              </w:rPr>
              <w:t>3</w:t>
            </w:r>
            <w:r w:rsidRPr="00006F1F">
              <w:rPr>
                <w:rFonts w:cs="Arial"/>
                <w:color w:val="000000"/>
                <w:sz w:val="18"/>
                <w:szCs w:val="18"/>
              </w:rPr>
              <w:br/>
              <w:t>4-15</w:t>
            </w:r>
          </w:p>
        </w:tc>
        <w:tc>
          <w:tcPr>
            <w:tcW w:w="2677" w:type="dxa"/>
            <w:vAlign w:val="center"/>
          </w:tcPr>
          <w:p w14:paraId="35079AA0" w14:textId="1AC05ED7" w:rsidR="00292378" w:rsidRDefault="00292378" w:rsidP="00126B82">
            <w:pPr>
              <w:spacing w:before="60" w:after="60"/>
              <w:rPr>
                <w:rFonts w:cs="Arial"/>
                <w:color w:val="000000"/>
                <w:sz w:val="18"/>
                <w:szCs w:val="18"/>
              </w:rPr>
            </w:pPr>
            <w:r>
              <w:rPr>
                <w:rFonts w:cs="Arial"/>
                <w:color w:val="000000"/>
                <w:sz w:val="18"/>
                <w:szCs w:val="18"/>
              </w:rPr>
              <w:t>Integer</w:t>
            </w:r>
          </w:p>
          <w:p w14:paraId="2FDA53C7" w14:textId="61B36C42" w:rsidR="00950EAE" w:rsidRPr="00851067" w:rsidRDefault="00950EAE" w:rsidP="00126B82">
            <w:pPr>
              <w:spacing w:before="60" w:after="60"/>
              <w:rPr>
                <w:rFonts w:cs="Arial"/>
                <w:color w:val="000000"/>
                <w:sz w:val="18"/>
                <w:szCs w:val="18"/>
              </w:rPr>
            </w:pPr>
            <w:r w:rsidRPr="00851067">
              <w:rPr>
                <w:rFonts w:cs="Arial"/>
                <w:color w:val="000000"/>
                <w:sz w:val="18"/>
                <w:szCs w:val="18"/>
              </w:rPr>
              <w:t xml:space="preserve">Agency + </w:t>
            </w:r>
            <w:r>
              <w:rPr>
                <w:rFonts w:cs="Arial"/>
                <w:color w:val="000000"/>
                <w:sz w:val="18"/>
                <w:szCs w:val="18"/>
              </w:rPr>
              <w:t>Alphanumeric</w:t>
            </w:r>
          </w:p>
        </w:tc>
        <w:tc>
          <w:tcPr>
            <w:tcW w:w="1070" w:type="dxa"/>
            <w:vAlign w:val="center"/>
          </w:tcPr>
          <w:p w14:paraId="65CCD3A8" w14:textId="55923B4B" w:rsidR="00950EAE" w:rsidRPr="00851067" w:rsidRDefault="00E67826" w:rsidP="00126B82">
            <w:pPr>
              <w:spacing w:before="60" w:after="60"/>
              <w:rPr>
                <w:rFonts w:cs="Arial"/>
                <w:color w:val="000000"/>
                <w:sz w:val="18"/>
                <w:szCs w:val="18"/>
              </w:rPr>
            </w:pPr>
            <w:r>
              <w:rPr>
                <w:rFonts w:cs="Arial"/>
                <w:color w:val="000000"/>
                <w:sz w:val="18"/>
                <w:szCs w:val="18"/>
              </w:rPr>
              <w:t>Centrally</w:t>
            </w:r>
            <w:r w:rsidR="00950EAE" w:rsidRPr="00851067">
              <w:rPr>
                <w:rFonts w:cs="Arial"/>
                <w:color w:val="000000"/>
                <w:sz w:val="18"/>
                <w:szCs w:val="18"/>
              </w:rPr>
              <w:br/>
              <w:t>Agency</w:t>
            </w:r>
          </w:p>
        </w:tc>
      </w:tr>
      <w:tr w:rsidR="00006F1F" w:rsidRPr="00851067" w14:paraId="03659AB5" w14:textId="77777777" w:rsidTr="00126B82">
        <w:trPr>
          <w:trHeight w:val="1020"/>
        </w:trPr>
        <w:tc>
          <w:tcPr>
            <w:tcW w:w="1544" w:type="dxa"/>
            <w:noWrap/>
            <w:vAlign w:val="center"/>
          </w:tcPr>
          <w:p w14:paraId="7C562CC8" w14:textId="3F5D9C0F" w:rsidR="00E67826" w:rsidRPr="00851067" w:rsidRDefault="00E67826" w:rsidP="00126B82">
            <w:pPr>
              <w:spacing w:before="60" w:after="60"/>
              <w:rPr>
                <w:rFonts w:cs="Arial"/>
                <w:b/>
                <w:color w:val="000000"/>
                <w:sz w:val="18"/>
                <w:szCs w:val="18"/>
              </w:rPr>
            </w:pPr>
            <w:r w:rsidRPr="00851067">
              <w:rPr>
                <w:rFonts w:cs="Arial"/>
                <w:b/>
                <w:color w:val="000000"/>
                <w:sz w:val="18"/>
                <w:szCs w:val="18"/>
              </w:rPr>
              <w:t>Appropriation</w:t>
            </w:r>
          </w:p>
        </w:tc>
        <w:tc>
          <w:tcPr>
            <w:tcW w:w="2946" w:type="dxa"/>
            <w:vAlign w:val="center"/>
          </w:tcPr>
          <w:p w14:paraId="1100F7A2" w14:textId="0538B93B" w:rsidR="00E67826" w:rsidRPr="00851067" w:rsidRDefault="00E67826" w:rsidP="00126B82">
            <w:pPr>
              <w:spacing w:before="60" w:after="60"/>
              <w:rPr>
                <w:rFonts w:cs="Arial"/>
                <w:color w:val="000000"/>
                <w:sz w:val="18"/>
                <w:szCs w:val="18"/>
              </w:rPr>
            </w:pPr>
            <w:r w:rsidRPr="00851067">
              <w:rPr>
                <w:rFonts w:cs="Arial"/>
                <w:color w:val="000000"/>
                <w:sz w:val="18"/>
                <w:szCs w:val="18"/>
              </w:rPr>
              <w:t>State Goal</w:t>
            </w:r>
            <w:r w:rsidRPr="00851067">
              <w:rPr>
                <w:rFonts w:cs="Arial"/>
                <w:color w:val="000000"/>
                <w:sz w:val="18"/>
                <w:szCs w:val="18"/>
              </w:rPr>
              <w:br/>
              <w:t>State Objective</w:t>
            </w:r>
            <w:r w:rsidRPr="00851067">
              <w:rPr>
                <w:rFonts w:cs="Arial"/>
                <w:color w:val="000000"/>
                <w:sz w:val="18"/>
                <w:szCs w:val="18"/>
              </w:rPr>
              <w:br/>
              <w:t>Appropriation</w:t>
            </w:r>
          </w:p>
        </w:tc>
        <w:tc>
          <w:tcPr>
            <w:tcW w:w="1123" w:type="dxa"/>
            <w:vAlign w:val="center"/>
          </w:tcPr>
          <w:p w14:paraId="6D28C8CE" w14:textId="4B6A7566" w:rsidR="00E67826" w:rsidRPr="00006F1F" w:rsidRDefault="00E67826" w:rsidP="00126B82">
            <w:pPr>
              <w:spacing w:before="60" w:after="60"/>
              <w:jc w:val="center"/>
              <w:rPr>
                <w:rFonts w:cs="Arial"/>
                <w:color w:val="000000"/>
                <w:sz w:val="18"/>
                <w:szCs w:val="18"/>
              </w:rPr>
            </w:pPr>
            <w:r w:rsidRPr="00006F1F">
              <w:rPr>
                <w:rFonts w:cs="Arial"/>
                <w:color w:val="000000"/>
                <w:sz w:val="18"/>
                <w:szCs w:val="18"/>
              </w:rPr>
              <w:t>2</w:t>
            </w:r>
            <w:r w:rsidRPr="00006F1F">
              <w:rPr>
                <w:rFonts w:cs="Arial"/>
                <w:color w:val="000000"/>
                <w:sz w:val="18"/>
                <w:szCs w:val="18"/>
              </w:rPr>
              <w:br/>
              <w:t>2</w:t>
            </w:r>
            <w:r w:rsidRPr="00006F1F">
              <w:rPr>
                <w:rFonts w:cs="Arial"/>
                <w:color w:val="000000"/>
                <w:sz w:val="18"/>
                <w:szCs w:val="18"/>
              </w:rPr>
              <w:br/>
              <w:t>4</w:t>
            </w:r>
          </w:p>
        </w:tc>
        <w:tc>
          <w:tcPr>
            <w:tcW w:w="2677" w:type="dxa"/>
            <w:vAlign w:val="center"/>
          </w:tcPr>
          <w:p w14:paraId="50AC8790" w14:textId="169E71DC" w:rsidR="00E67826" w:rsidRPr="00851067" w:rsidRDefault="00E67826" w:rsidP="00126B82">
            <w:pPr>
              <w:spacing w:before="60" w:after="60"/>
              <w:rPr>
                <w:rFonts w:cs="Arial"/>
                <w:color w:val="000000"/>
                <w:sz w:val="18"/>
                <w:szCs w:val="18"/>
              </w:rPr>
            </w:pPr>
            <w:r>
              <w:rPr>
                <w:rFonts w:cs="Arial"/>
                <w:color w:val="000000"/>
                <w:sz w:val="18"/>
                <w:szCs w:val="18"/>
              </w:rPr>
              <w:t>Integer</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t>Alpha</w:t>
            </w:r>
          </w:p>
        </w:tc>
        <w:tc>
          <w:tcPr>
            <w:tcW w:w="1070" w:type="dxa"/>
            <w:vAlign w:val="center"/>
          </w:tcPr>
          <w:p w14:paraId="05D97B8E" w14:textId="4E6D0144" w:rsidR="00E67826" w:rsidRPr="00851067" w:rsidRDefault="00E67826" w:rsidP="00126B82">
            <w:pPr>
              <w:spacing w:before="60" w:after="60"/>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Centrally</w:t>
            </w:r>
          </w:p>
        </w:tc>
      </w:tr>
      <w:tr w:rsidR="00006F1F" w:rsidRPr="00851067" w14:paraId="13E62E0A" w14:textId="77777777" w:rsidTr="00126B82">
        <w:trPr>
          <w:trHeight w:val="770"/>
        </w:trPr>
        <w:tc>
          <w:tcPr>
            <w:tcW w:w="1544" w:type="dxa"/>
            <w:noWrap/>
            <w:vAlign w:val="center"/>
          </w:tcPr>
          <w:p w14:paraId="6BECB3FE" w14:textId="46D67A33" w:rsidR="00E67826" w:rsidRPr="00851067" w:rsidRDefault="00E67826" w:rsidP="00126B82">
            <w:pPr>
              <w:spacing w:before="60" w:after="60"/>
              <w:rPr>
                <w:rFonts w:cs="Arial"/>
                <w:b/>
                <w:color w:val="000000"/>
                <w:sz w:val="18"/>
                <w:szCs w:val="18"/>
              </w:rPr>
            </w:pPr>
            <w:r w:rsidRPr="00851067">
              <w:rPr>
                <w:rFonts w:cs="Arial"/>
                <w:b/>
                <w:color w:val="000000"/>
                <w:sz w:val="18"/>
                <w:szCs w:val="18"/>
              </w:rPr>
              <w:t>Fund</w:t>
            </w:r>
          </w:p>
        </w:tc>
        <w:tc>
          <w:tcPr>
            <w:tcW w:w="2946" w:type="dxa"/>
            <w:vAlign w:val="center"/>
          </w:tcPr>
          <w:p w14:paraId="72C217D9" w14:textId="78CF76C8" w:rsidR="00E67826" w:rsidRPr="00851067" w:rsidRDefault="00E67826" w:rsidP="00126B82">
            <w:pPr>
              <w:spacing w:before="60" w:after="60"/>
              <w:rPr>
                <w:rFonts w:cs="Arial"/>
                <w:color w:val="000000"/>
                <w:sz w:val="18"/>
                <w:szCs w:val="18"/>
              </w:rPr>
            </w:pPr>
            <w:r w:rsidRPr="00851067">
              <w:rPr>
                <w:rFonts w:cs="Arial"/>
                <w:color w:val="000000"/>
                <w:sz w:val="18"/>
                <w:szCs w:val="18"/>
              </w:rPr>
              <w:t>Fund Type</w:t>
            </w:r>
            <w:r w:rsidRPr="00851067">
              <w:rPr>
                <w:rFonts w:cs="Arial"/>
                <w:color w:val="000000"/>
                <w:sz w:val="18"/>
                <w:szCs w:val="18"/>
              </w:rPr>
              <w:br/>
              <w:t>Fund Subtype</w:t>
            </w:r>
            <w:r w:rsidRPr="00851067">
              <w:rPr>
                <w:rFonts w:cs="Arial"/>
                <w:color w:val="000000"/>
                <w:sz w:val="18"/>
                <w:szCs w:val="18"/>
              </w:rPr>
              <w:br/>
            </w:r>
            <w:r w:rsidRPr="00851067">
              <w:rPr>
                <w:rFonts w:cs="Arial"/>
                <w:color w:val="000000"/>
                <w:sz w:val="18"/>
                <w:szCs w:val="18"/>
              </w:rPr>
              <w:lastRenderedPageBreak/>
              <w:t>Fund</w:t>
            </w:r>
            <w:r w:rsidRPr="00851067">
              <w:rPr>
                <w:rFonts w:cs="Arial"/>
                <w:color w:val="000000"/>
                <w:sz w:val="18"/>
                <w:szCs w:val="18"/>
              </w:rPr>
              <w:br/>
              <w:t>Subfund</w:t>
            </w:r>
          </w:p>
        </w:tc>
        <w:tc>
          <w:tcPr>
            <w:tcW w:w="1123" w:type="dxa"/>
            <w:vAlign w:val="center"/>
          </w:tcPr>
          <w:p w14:paraId="1B19D459" w14:textId="6A593F22" w:rsidR="00E67826" w:rsidRPr="00006F1F" w:rsidRDefault="00E67826" w:rsidP="00126B82">
            <w:pPr>
              <w:spacing w:before="60" w:after="60"/>
              <w:jc w:val="center"/>
              <w:rPr>
                <w:rFonts w:cs="Arial"/>
                <w:color w:val="000000"/>
                <w:sz w:val="18"/>
                <w:szCs w:val="18"/>
              </w:rPr>
            </w:pPr>
            <w:r w:rsidRPr="00006F1F">
              <w:rPr>
                <w:rFonts w:cs="Arial"/>
                <w:color w:val="000000"/>
                <w:sz w:val="18"/>
                <w:szCs w:val="18"/>
              </w:rPr>
              <w:lastRenderedPageBreak/>
              <w:t>1</w:t>
            </w:r>
            <w:r w:rsidRPr="00006F1F">
              <w:rPr>
                <w:rFonts w:cs="Arial"/>
                <w:color w:val="000000"/>
                <w:sz w:val="18"/>
                <w:szCs w:val="18"/>
              </w:rPr>
              <w:br/>
              <w:t>3</w:t>
            </w:r>
            <w:r w:rsidRPr="00006F1F">
              <w:rPr>
                <w:rFonts w:cs="Arial"/>
                <w:color w:val="000000"/>
                <w:sz w:val="18"/>
                <w:szCs w:val="18"/>
              </w:rPr>
              <w:br/>
            </w:r>
            <w:r w:rsidRPr="00006F1F">
              <w:rPr>
                <w:rFonts w:cs="Arial"/>
                <w:color w:val="000000"/>
                <w:sz w:val="18"/>
                <w:szCs w:val="18"/>
              </w:rPr>
              <w:lastRenderedPageBreak/>
              <w:t>3</w:t>
            </w:r>
            <w:r w:rsidRPr="00006F1F">
              <w:rPr>
                <w:rFonts w:cs="Arial"/>
                <w:color w:val="000000"/>
                <w:sz w:val="18"/>
                <w:szCs w:val="18"/>
              </w:rPr>
              <w:br/>
              <w:t>5</w:t>
            </w:r>
          </w:p>
        </w:tc>
        <w:tc>
          <w:tcPr>
            <w:tcW w:w="2677" w:type="dxa"/>
            <w:vAlign w:val="center"/>
          </w:tcPr>
          <w:p w14:paraId="48F41F31" w14:textId="53FDC0C6" w:rsidR="00E67826" w:rsidRPr="00851067" w:rsidRDefault="00E67826" w:rsidP="00126B82">
            <w:pPr>
              <w:spacing w:before="60" w:after="60"/>
              <w:rPr>
                <w:rFonts w:cs="Arial"/>
                <w:color w:val="000000"/>
                <w:sz w:val="18"/>
                <w:szCs w:val="18"/>
              </w:rPr>
            </w:pPr>
            <w:r w:rsidRPr="00851067">
              <w:rPr>
                <w:rFonts w:cs="Arial"/>
                <w:color w:val="000000"/>
                <w:sz w:val="18"/>
                <w:szCs w:val="18"/>
              </w:rPr>
              <w:lastRenderedPageBreak/>
              <w:t>Alpha</w:t>
            </w:r>
            <w:r w:rsidRPr="00851067">
              <w:rPr>
                <w:rFonts w:cs="Arial"/>
                <w:color w:val="000000"/>
                <w:sz w:val="18"/>
                <w:szCs w:val="18"/>
              </w:rPr>
              <w:br/>
              <w:t>Alpha</w:t>
            </w:r>
            <w:r w:rsidRPr="00851067">
              <w:rPr>
                <w:rFonts w:cs="Arial"/>
                <w:color w:val="000000"/>
                <w:sz w:val="18"/>
                <w:szCs w:val="18"/>
              </w:rPr>
              <w:br/>
            </w:r>
            <w:r>
              <w:rPr>
                <w:rFonts w:cs="Arial"/>
                <w:color w:val="000000"/>
                <w:sz w:val="18"/>
                <w:szCs w:val="18"/>
              </w:rPr>
              <w:lastRenderedPageBreak/>
              <w:t>Integer</w:t>
            </w:r>
            <w:r w:rsidRPr="00851067">
              <w:rPr>
                <w:rFonts w:cs="Arial"/>
                <w:color w:val="000000"/>
                <w:sz w:val="18"/>
                <w:szCs w:val="18"/>
              </w:rPr>
              <w:br/>
              <w:t xml:space="preserve">Fund + </w:t>
            </w:r>
            <w:r>
              <w:rPr>
                <w:rFonts w:cs="Arial"/>
                <w:color w:val="000000"/>
                <w:sz w:val="18"/>
                <w:szCs w:val="18"/>
              </w:rPr>
              <w:t>Integer</w:t>
            </w:r>
          </w:p>
        </w:tc>
        <w:tc>
          <w:tcPr>
            <w:tcW w:w="1070" w:type="dxa"/>
            <w:vAlign w:val="center"/>
          </w:tcPr>
          <w:p w14:paraId="585D71DE" w14:textId="48D957AD" w:rsidR="00E67826" w:rsidRPr="00851067" w:rsidRDefault="00E67826" w:rsidP="00126B82">
            <w:pPr>
              <w:spacing w:before="60" w:after="60"/>
              <w:rPr>
                <w:rFonts w:cs="Arial"/>
                <w:color w:val="000000"/>
                <w:sz w:val="18"/>
                <w:szCs w:val="18"/>
              </w:rPr>
            </w:pPr>
            <w:r w:rsidRPr="00851067">
              <w:rPr>
                <w:rFonts w:cs="Arial"/>
                <w:color w:val="000000"/>
                <w:sz w:val="18"/>
                <w:szCs w:val="18"/>
              </w:rPr>
              <w:lastRenderedPageBreak/>
              <w:t>Centrally</w:t>
            </w:r>
            <w:r w:rsidRPr="00851067">
              <w:rPr>
                <w:rFonts w:cs="Arial"/>
                <w:color w:val="000000"/>
                <w:sz w:val="18"/>
                <w:szCs w:val="18"/>
              </w:rPr>
              <w:br/>
              <w:t>Centrally</w:t>
            </w:r>
            <w:r w:rsidRPr="00851067">
              <w:rPr>
                <w:rFonts w:cs="Arial"/>
                <w:color w:val="000000"/>
                <w:sz w:val="18"/>
                <w:szCs w:val="18"/>
              </w:rPr>
              <w:br/>
            </w:r>
            <w:r w:rsidRPr="00851067">
              <w:rPr>
                <w:rFonts w:cs="Arial"/>
                <w:color w:val="000000"/>
                <w:sz w:val="18"/>
                <w:szCs w:val="18"/>
              </w:rPr>
              <w:lastRenderedPageBreak/>
              <w:t>Centrally</w:t>
            </w:r>
            <w:r w:rsidRPr="00851067">
              <w:rPr>
                <w:rFonts w:cs="Arial"/>
                <w:color w:val="000000"/>
                <w:sz w:val="18"/>
                <w:szCs w:val="18"/>
              </w:rPr>
              <w:br/>
              <w:t>Centrally</w:t>
            </w:r>
          </w:p>
        </w:tc>
      </w:tr>
      <w:tr w:rsidR="00006F1F" w:rsidRPr="00851067" w14:paraId="03B10FDF" w14:textId="77777777" w:rsidTr="00126B82">
        <w:trPr>
          <w:trHeight w:val="1270"/>
        </w:trPr>
        <w:tc>
          <w:tcPr>
            <w:tcW w:w="1544" w:type="dxa"/>
            <w:noWrap/>
            <w:vAlign w:val="center"/>
            <w:hideMark/>
          </w:tcPr>
          <w:p w14:paraId="0080E7B0" w14:textId="10CBA107" w:rsidR="00E67826" w:rsidRPr="00D010BD" w:rsidRDefault="00E67826" w:rsidP="00126B82">
            <w:pPr>
              <w:spacing w:before="60" w:after="60"/>
              <w:rPr>
                <w:rFonts w:cs="Arial"/>
                <w:bCs/>
                <w:color w:val="000000"/>
                <w:sz w:val="18"/>
                <w:szCs w:val="18"/>
              </w:rPr>
            </w:pPr>
            <w:r w:rsidRPr="00851067">
              <w:rPr>
                <w:rFonts w:cs="Arial"/>
                <w:b/>
                <w:color w:val="000000"/>
                <w:sz w:val="18"/>
                <w:szCs w:val="18"/>
              </w:rPr>
              <w:lastRenderedPageBreak/>
              <w:t>Account</w:t>
            </w:r>
            <w:r w:rsidR="004D765B">
              <w:rPr>
                <w:rFonts w:cs="Arial"/>
                <w:b/>
                <w:color w:val="000000"/>
                <w:sz w:val="18"/>
                <w:szCs w:val="18"/>
              </w:rPr>
              <w:t xml:space="preserve"> </w:t>
            </w:r>
            <w:r w:rsidR="004D765B">
              <w:rPr>
                <w:rFonts w:cs="Arial"/>
                <w:bCs/>
                <w:color w:val="000000"/>
                <w:sz w:val="18"/>
                <w:szCs w:val="18"/>
              </w:rPr>
              <w:t>(see footnote 4 section 3.7 for more details)</w:t>
            </w:r>
          </w:p>
        </w:tc>
        <w:tc>
          <w:tcPr>
            <w:tcW w:w="2946" w:type="dxa"/>
            <w:vAlign w:val="center"/>
            <w:hideMark/>
          </w:tcPr>
          <w:p w14:paraId="6C450B4C" w14:textId="77777777" w:rsidR="00E67826" w:rsidRPr="00851067" w:rsidRDefault="00E67826" w:rsidP="00126B82">
            <w:pPr>
              <w:spacing w:before="60" w:after="60"/>
              <w:rPr>
                <w:rFonts w:cs="Arial"/>
                <w:color w:val="000000"/>
                <w:sz w:val="18"/>
                <w:szCs w:val="18"/>
              </w:rPr>
            </w:pPr>
            <w:r w:rsidRPr="00851067">
              <w:rPr>
                <w:rFonts w:cs="Arial"/>
                <w:color w:val="000000"/>
                <w:sz w:val="18"/>
                <w:szCs w:val="18"/>
              </w:rPr>
              <w:t>Account Type</w:t>
            </w:r>
            <w:r w:rsidRPr="00851067">
              <w:rPr>
                <w:rFonts w:cs="Arial"/>
                <w:color w:val="000000"/>
                <w:sz w:val="18"/>
                <w:szCs w:val="18"/>
              </w:rPr>
              <w:br/>
              <w:t>Account Category</w:t>
            </w:r>
            <w:r w:rsidRPr="00851067">
              <w:rPr>
                <w:rFonts w:cs="Arial"/>
                <w:color w:val="000000"/>
                <w:sz w:val="18"/>
                <w:szCs w:val="18"/>
              </w:rPr>
              <w:br/>
              <w:t>Summary Account</w:t>
            </w:r>
            <w:r w:rsidRPr="00851067">
              <w:rPr>
                <w:rFonts w:cs="Arial"/>
                <w:color w:val="000000"/>
                <w:sz w:val="18"/>
                <w:szCs w:val="18"/>
              </w:rPr>
              <w:br/>
              <w:t>Account</w:t>
            </w:r>
            <w:r w:rsidRPr="00851067">
              <w:rPr>
                <w:rFonts w:cs="Arial"/>
                <w:color w:val="000000"/>
                <w:sz w:val="18"/>
                <w:szCs w:val="18"/>
              </w:rPr>
              <w:br/>
              <w:t>Posting Account</w:t>
            </w:r>
          </w:p>
        </w:tc>
        <w:tc>
          <w:tcPr>
            <w:tcW w:w="1123" w:type="dxa"/>
            <w:vAlign w:val="center"/>
            <w:hideMark/>
          </w:tcPr>
          <w:p w14:paraId="2FCF63F0" w14:textId="77777777" w:rsidR="00E67826" w:rsidRPr="00006F1F" w:rsidRDefault="00E67826" w:rsidP="00126B82">
            <w:pPr>
              <w:spacing w:before="60" w:after="60"/>
              <w:jc w:val="center"/>
              <w:rPr>
                <w:rFonts w:cs="Arial"/>
                <w:color w:val="000000"/>
                <w:sz w:val="18"/>
                <w:szCs w:val="18"/>
              </w:rPr>
            </w:pPr>
            <w:r w:rsidRPr="00006F1F">
              <w:rPr>
                <w:rFonts w:cs="Arial"/>
                <w:color w:val="000000"/>
                <w:sz w:val="18"/>
                <w:szCs w:val="18"/>
              </w:rPr>
              <w:t>15</w:t>
            </w:r>
            <w:r w:rsidRPr="00006F1F">
              <w:rPr>
                <w:rFonts w:cs="Arial"/>
                <w:color w:val="000000"/>
                <w:sz w:val="18"/>
                <w:szCs w:val="18"/>
              </w:rPr>
              <w:br/>
              <w:t>15</w:t>
            </w:r>
            <w:r w:rsidRPr="00006F1F">
              <w:rPr>
                <w:rFonts w:cs="Arial"/>
                <w:color w:val="000000"/>
                <w:sz w:val="18"/>
                <w:szCs w:val="18"/>
              </w:rPr>
              <w:br/>
              <w:t>15</w:t>
            </w:r>
            <w:r w:rsidRPr="00006F1F">
              <w:rPr>
                <w:rFonts w:cs="Arial"/>
                <w:color w:val="000000"/>
                <w:sz w:val="18"/>
                <w:szCs w:val="18"/>
              </w:rPr>
              <w:br/>
              <w:t>4</w:t>
            </w:r>
            <w:r w:rsidRPr="00006F1F">
              <w:rPr>
                <w:rFonts w:cs="Arial"/>
                <w:color w:val="000000"/>
                <w:sz w:val="18"/>
                <w:szCs w:val="18"/>
              </w:rPr>
              <w:br/>
              <w:t>6</w:t>
            </w:r>
          </w:p>
        </w:tc>
        <w:tc>
          <w:tcPr>
            <w:tcW w:w="2677" w:type="dxa"/>
            <w:vAlign w:val="center"/>
            <w:hideMark/>
          </w:tcPr>
          <w:p w14:paraId="4239C0D5" w14:textId="77777777" w:rsidR="00E67826" w:rsidRPr="00851067" w:rsidRDefault="00E67826" w:rsidP="00126B82">
            <w:pPr>
              <w:spacing w:before="60" w:after="60"/>
              <w:rPr>
                <w:rFonts w:cs="Arial"/>
                <w:color w:val="000000"/>
                <w:sz w:val="18"/>
                <w:szCs w:val="18"/>
              </w:rPr>
            </w:pPr>
            <w:r w:rsidRPr="00851067">
              <w:rPr>
                <w:rFonts w:cs="Arial"/>
                <w:color w:val="000000"/>
                <w:sz w:val="18"/>
                <w:szCs w:val="18"/>
              </w:rPr>
              <w:t>Alphanumeric</w:t>
            </w:r>
            <w:r w:rsidRPr="00851067">
              <w:rPr>
                <w:rFonts w:cs="Arial"/>
                <w:color w:val="000000"/>
                <w:sz w:val="18"/>
                <w:szCs w:val="18"/>
              </w:rPr>
              <w:br/>
              <w:t>Alphanumeric</w:t>
            </w:r>
            <w:r w:rsidRPr="00851067">
              <w:rPr>
                <w:rFonts w:cs="Arial"/>
                <w:color w:val="000000"/>
                <w:sz w:val="18"/>
                <w:szCs w:val="18"/>
              </w:rPr>
              <w:br/>
              <w:t>Alphanumeric</w:t>
            </w:r>
            <w:r w:rsidRPr="00851067">
              <w:rPr>
                <w:rFonts w:cs="Arial"/>
                <w:color w:val="000000"/>
                <w:sz w:val="18"/>
                <w:szCs w:val="18"/>
              </w:rPr>
              <w:br/>
            </w:r>
            <w:r>
              <w:rPr>
                <w:rFonts w:cs="Arial"/>
                <w:color w:val="000000"/>
                <w:sz w:val="18"/>
                <w:szCs w:val="18"/>
              </w:rPr>
              <w:t>Integer</w:t>
            </w:r>
            <w:r w:rsidRPr="00851067">
              <w:rPr>
                <w:rFonts w:cs="Arial"/>
                <w:color w:val="000000"/>
                <w:sz w:val="18"/>
                <w:szCs w:val="18"/>
              </w:rPr>
              <w:br/>
            </w:r>
            <w:r>
              <w:rPr>
                <w:rFonts w:cs="Arial"/>
                <w:color w:val="000000"/>
                <w:sz w:val="18"/>
                <w:szCs w:val="18"/>
              </w:rPr>
              <w:t>Integer</w:t>
            </w:r>
          </w:p>
        </w:tc>
        <w:tc>
          <w:tcPr>
            <w:tcW w:w="1070" w:type="dxa"/>
            <w:vAlign w:val="center"/>
            <w:hideMark/>
          </w:tcPr>
          <w:p w14:paraId="3CA792A1" w14:textId="77777777" w:rsidR="00E67826" w:rsidRPr="00851067" w:rsidRDefault="00E67826" w:rsidP="00126B82">
            <w:pPr>
              <w:spacing w:before="60" w:after="60"/>
              <w:rPr>
                <w:rFonts w:cs="Arial"/>
                <w:color w:val="000000"/>
                <w:sz w:val="18"/>
                <w:szCs w:val="18"/>
              </w:rPr>
            </w:pPr>
            <w:r w:rsidRPr="00851067">
              <w:rPr>
                <w:rFonts w:cs="Arial"/>
                <w:color w:val="000000"/>
                <w:sz w:val="18"/>
                <w:szCs w:val="18"/>
              </w:rPr>
              <w:t>Centrally</w:t>
            </w:r>
            <w:r w:rsidRPr="00851067">
              <w:rPr>
                <w:rFonts w:cs="Arial"/>
                <w:color w:val="000000"/>
                <w:sz w:val="18"/>
                <w:szCs w:val="18"/>
              </w:rPr>
              <w:br/>
              <w:t>Centrally</w:t>
            </w:r>
            <w:r w:rsidRPr="00851067">
              <w:rPr>
                <w:rFonts w:cs="Arial"/>
                <w:color w:val="000000"/>
                <w:sz w:val="18"/>
                <w:szCs w:val="18"/>
              </w:rPr>
              <w:br/>
              <w:t>Centrally</w:t>
            </w:r>
            <w:r w:rsidRPr="00851067">
              <w:rPr>
                <w:rFonts w:cs="Arial"/>
                <w:color w:val="000000"/>
                <w:sz w:val="18"/>
                <w:szCs w:val="18"/>
              </w:rPr>
              <w:br/>
              <w:t>Centrally</w:t>
            </w:r>
            <w:r w:rsidRPr="00851067">
              <w:rPr>
                <w:rFonts w:cs="Arial"/>
                <w:color w:val="000000"/>
                <w:sz w:val="18"/>
                <w:szCs w:val="18"/>
              </w:rPr>
              <w:br/>
              <w:t>Centrally</w:t>
            </w:r>
          </w:p>
        </w:tc>
      </w:tr>
      <w:tr w:rsidR="00006F1F" w:rsidRPr="00851067" w14:paraId="15C04C3D" w14:textId="77777777" w:rsidTr="00126B82">
        <w:trPr>
          <w:trHeight w:val="520"/>
        </w:trPr>
        <w:tc>
          <w:tcPr>
            <w:tcW w:w="1544" w:type="dxa"/>
            <w:noWrap/>
            <w:vAlign w:val="center"/>
            <w:hideMark/>
          </w:tcPr>
          <w:p w14:paraId="3ABA8846" w14:textId="77777777" w:rsidR="00EA1368" w:rsidRPr="00851067" w:rsidRDefault="00EA1368" w:rsidP="00126B82">
            <w:pPr>
              <w:spacing w:before="60" w:after="60"/>
              <w:rPr>
                <w:rFonts w:cs="Arial"/>
                <w:b/>
                <w:color w:val="000000"/>
                <w:sz w:val="18"/>
                <w:szCs w:val="18"/>
              </w:rPr>
            </w:pPr>
            <w:r w:rsidRPr="00851067">
              <w:rPr>
                <w:rFonts w:cs="Arial"/>
                <w:b/>
                <w:color w:val="000000"/>
                <w:sz w:val="18"/>
                <w:szCs w:val="18"/>
              </w:rPr>
              <w:t>Location</w:t>
            </w:r>
          </w:p>
        </w:tc>
        <w:tc>
          <w:tcPr>
            <w:tcW w:w="2946" w:type="dxa"/>
            <w:vAlign w:val="center"/>
            <w:hideMark/>
          </w:tcPr>
          <w:p w14:paraId="210AA9FE" w14:textId="4BA6A16B" w:rsidR="00EA1368" w:rsidRPr="00851067" w:rsidRDefault="00EA1368" w:rsidP="00126B82">
            <w:pPr>
              <w:spacing w:before="60" w:after="60"/>
              <w:rPr>
                <w:rFonts w:cs="Arial"/>
                <w:color w:val="000000"/>
                <w:sz w:val="18"/>
                <w:szCs w:val="18"/>
              </w:rPr>
            </w:pPr>
            <w:r>
              <w:rPr>
                <w:rFonts w:cs="Arial"/>
                <w:color w:val="000000"/>
                <w:sz w:val="18"/>
                <w:szCs w:val="18"/>
              </w:rPr>
              <w:t>Location</w:t>
            </w:r>
            <w:r w:rsidRPr="00851067">
              <w:rPr>
                <w:rFonts w:cs="Arial"/>
                <w:color w:val="000000"/>
                <w:sz w:val="18"/>
                <w:szCs w:val="18"/>
              </w:rPr>
              <w:t xml:space="preserve"> Level 1</w:t>
            </w:r>
            <w:r w:rsidR="00292378">
              <w:rPr>
                <w:rFonts w:cs="Arial"/>
                <w:color w:val="000000"/>
                <w:sz w:val="18"/>
                <w:szCs w:val="18"/>
              </w:rPr>
              <w:t xml:space="preserve"> (Agency)</w:t>
            </w:r>
            <w:r w:rsidRPr="00851067">
              <w:rPr>
                <w:rFonts w:cs="Arial"/>
                <w:color w:val="000000"/>
                <w:sz w:val="18"/>
                <w:szCs w:val="18"/>
              </w:rPr>
              <w:br/>
            </w:r>
            <w:r>
              <w:rPr>
                <w:rFonts w:cs="Arial"/>
                <w:color w:val="000000"/>
                <w:sz w:val="18"/>
                <w:szCs w:val="18"/>
              </w:rPr>
              <w:t>Location</w:t>
            </w:r>
            <w:r w:rsidRPr="00851067">
              <w:rPr>
                <w:rFonts w:cs="Arial"/>
                <w:color w:val="000000"/>
                <w:sz w:val="18"/>
                <w:szCs w:val="18"/>
              </w:rPr>
              <w:t xml:space="preserve"> Level 2</w:t>
            </w:r>
            <w:r>
              <w:rPr>
                <w:rFonts w:cs="Arial"/>
                <w:color w:val="000000"/>
                <w:sz w:val="18"/>
                <w:szCs w:val="18"/>
              </w:rPr>
              <w:t>+</w:t>
            </w:r>
          </w:p>
        </w:tc>
        <w:tc>
          <w:tcPr>
            <w:tcW w:w="1123" w:type="dxa"/>
            <w:noWrap/>
            <w:vAlign w:val="center"/>
            <w:hideMark/>
          </w:tcPr>
          <w:p w14:paraId="31283078" w14:textId="481198B8" w:rsidR="00EA1368" w:rsidRPr="00006F1F" w:rsidRDefault="00EA1368" w:rsidP="00126B82">
            <w:pPr>
              <w:spacing w:before="60" w:after="60"/>
              <w:jc w:val="center"/>
              <w:rPr>
                <w:rFonts w:cs="Arial"/>
                <w:color w:val="000000"/>
                <w:sz w:val="18"/>
                <w:szCs w:val="18"/>
              </w:rPr>
            </w:pPr>
            <w:r w:rsidRPr="00006F1F">
              <w:rPr>
                <w:rFonts w:cs="Arial"/>
                <w:color w:val="000000"/>
                <w:sz w:val="18"/>
                <w:szCs w:val="18"/>
              </w:rPr>
              <w:t>3</w:t>
            </w:r>
            <w:r w:rsidRPr="00006F1F">
              <w:rPr>
                <w:rFonts w:cs="Arial"/>
                <w:color w:val="000000"/>
                <w:sz w:val="18"/>
                <w:szCs w:val="18"/>
              </w:rPr>
              <w:br/>
              <w:t>4-15</w:t>
            </w:r>
          </w:p>
        </w:tc>
        <w:tc>
          <w:tcPr>
            <w:tcW w:w="2677" w:type="dxa"/>
            <w:vAlign w:val="center"/>
            <w:hideMark/>
          </w:tcPr>
          <w:p w14:paraId="1A1CFDE5" w14:textId="77777777" w:rsidR="00292378" w:rsidRDefault="00292378" w:rsidP="00126B82">
            <w:pPr>
              <w:spacing w:before="60" w:after="60"/>
              <w:rPr>
                <w:rFonts w:cs="Arial"/>
                <w:color w:val="000000"/>
                <w:sz w:val="18"/>
                <w:szCs w:val="18"/>
              </w:rPr>
            </w:pPr>
            <w:r>
              <w:rPr>
                <w:rFonts w:cs="Arial"/>
                <w:color w:val="000000"/>
                <w:sz w:val="18"/>
                <w:szCs w:val="18"/>
              </w:rPr>
              <w:t>Integer</w:t>
            </w:r>
          </w:p>
          <w:p w14:paraId="6DD83219" w14:textId="661CAF05" w:rsidR="00EA1368" w:rsidRPr="00851067" w:rsidRDefault="00EA1368" w:rsidP="00126B82">
            <w:pPr>
              <w:spacing w:before="60" w:after="60"/>
              <w:rPr>
                <w:rFonts w:cs="Arial"/>
                <w:color w:val="000000"/>
                <w:sz w:val="18"/>
                <w:szCs w:val="18"/>
              </w:rPr>
            </w:pPr>
            <w:r w:rsidRPr="00851067">
              <w:rPr>
                <w:rFonts w:cs="Arial"/>
                <w:color w:val="000000"/>
                <w:sz w:val="18"/>
                <w:szCs w:val="18"/>
              </w:rPr>
              <w:t xml:space="preserve">Agency + </w:t>
            </w:r>
            <w:r>
              <w:rPr>
                <w:rFonts w:cs="Arial"/>
                <w:color w:val="000000"/>
                <w:sz w:val="18"/>
                <w:szCs w:val="18"/>
              </w:rPr>
              <w:t>Alphanumeric</w:t>
            </w:r>
          </w:p>
        </w:tc>
        <w:tc>
          <w:tcPr>
            <w:tcW w:w="1070" w:type="dxa"/>
            <w:vAlign w:val="center"/>
            <w:hideMark/>
          </w:tcPr>
          <w:p w14:paraId="1A06E65D" w14:textId="75734D65" w:rsidR="00EA1368" w:rsidRPr="00851067" w:rsidRDefault="00EA1368" w:rsidP="00126B82">
            <w:pPr>
              <w:spacing w:before="60" w:after="60"/>
              <w:rPr>
                <w:rFonts w:cs="Arial"/>
                <w:color w:val="000000"/>
                <w:sz w:val="18"/>
                <w:szCs w:val="18"/>
              </w:rPr>
            </w:pPr>
            <w:r>
              <w:rPr>
                <w:rFonts w:cs="Arial"/>
                <w:color w:val="000000"/>
                <w:sz w:val="18"/>
                <w:szCs w:val="18"/>
              </w:rPr>
              <w:t>Centrally</w:t>
            </w:r>
            <w:r w:rsidRPr="00851067">
              <w:rPr>
                <w:rFonts w:cs="Arial"/>
                <w:color w:val="000000"/>
                <w:sz w:val="18"/>
                <w:szCs w:val="18"/>
              </w:rPr>
              <w:br/>
              <w:t>Agency</w:t>
            </w:r>
          </w:p>
        </w:tc>
      </w:tr>
      <w:tr w:rsidR="00006F1F" w:rsidRPr="00851067" w14:paraId="049B7F66" w14:textId="77777777" w:rsidTr="00126B82">
        <w:trPr>
          <w:trHeight w:val="520"/>
        </w:trPr>
        <w:tc>
          <w:tcPr>
            <w:tcW w:w="1544" w:type="dxa"/>
            <w:tcBorders>
              <w:bottom w:val="single" w:sz="8" w:space="0" w:color="000000" w:themeColor="text1"/>
            </w:tcBorders>
            <w:noWrap/>
            <w:vAlign w:val="center"/>
            <w:hideMark/>
          </w:tcPr>
          <w:p w14:paraId="0D397A75" w14:textId="77777777" w:rsidR="00EA1368" w:rsidRPr="00851067" w:rsidRDefault="00EA1368" w:rsidP="00126B82">
            <w:pPr>
              <w:spacing w:before="60" w:after="60"/>
              <w:rPr>
                <w:rFonts w:cs="Arial"/>
                <w:b/>
                <w:color w:val="000000"/>
                <w:sz w:val="18"/>
                <w:szCs w:val="18"/>
              </w:rPr>
            </w:pPr>
            <w:r w:rsidRPr="00851067">
              <w:rPr>
                <w:rFonts w:cs="Arial"/>
                <w:b/>
                <w:color w:val="000000"/>
                <w:sz w:val="18"/>
                <w:szCs w:val="18"/>
              </w:rPr>
              <w:t>Additional Reporting</w:t>
            </w:r>
          </w:p>
        </w:tc>
        <w:tc>
          <w:tcPr>
            <w:tcW w:w="2946" w:type="dxa"/>
            <w:tcBorders>
              <w:bottom w:val="single" w:sz="8" w:space="0" w:color="000000" w:themeColor="text1"/>
            </w:tcBorders>
            <w:vAlign w:val="center"/>
            <w:hideMark/>
          </w:tcPr>
          <w:p w14:paraId="711B9A1E" w14:textId="05EB9222" w:rsidR="00EA1368" w:rsidRPr="00851067" w:rsidRDefault="00EA1368" w:rsidP="00126B82">
            <w:pPr>
              <w:spacing w:before="60" w:after="60"/>
              <w:rPr>
                <w:rFonts w:cs="Arial"/>
                <w:color w:val="000000"/>
                <w:sz w:val="18"/>
                <w:szCs w:val="18"/>
              </w:rPr>
            </w:pPr>
            <w:r>
              <w:rPr>
                <w:rFonts w:cs="Arial"/>
                <w:color w:val="000000"/>
                <w:sz w:val="18"/>
                <w:szCs w:val="18"/>
              </w:rPr>
              <w:t>Add</w:t>
            </w:r>
            <w:r w:rsidR="000348AF">
              <w:rPr>
                <w:rFonts w:cs="Arial"/>
                <w:color w:val="000000"/>
                <w:sz w:val="18"/>
                <w:szCs w:val="18"/>
              </w:rPr>
              <w:t>t’l</w:t>
            </w:r>
            <w:r>
              <w:rPr>
                <w:rFonts w:cs="Arial"/>
                <w:color w:val="000000"/>
                <w:sz w:val="18"/>
                <w:szCs w:val="18"/>
              </w:rPr>
              <w:t xml:space="preserve"> Reporting</w:t>
            </w:r>
            <w:r w:rsidRPr="00851067">
              <w:rPr>
                <w:rFonts w:cs="Arial"/>
                <w:color w:val="000000"/>
                <w:sz w:val="18"/>
                <w:szCs w:val="18"/>
              </w:rPr>
              <w:t xml:space="preserve"> Level 1</w:t>
            </w:r>
            <w:r w:rsidR="00292378">
              <w:rPr>
                <w:rFonts w:cs="Arial"/>
                <w:color w:val="000000"/>
                <w:sz w:val="18"/>
                <w:szCs w:val="18"/>
              </w:rPr>
              <w:t xml:space="preserve"> (Agency)</w:t>
            </w:r>
            <w:r w:rsidRPr="00851067">
              <w:rPr>
                <w:rFonts w:cs="Arial"/>
                <w:color w:val="000000"/>
                <w:sz w:val="18"/>
                <w:szCs w:val="18"/>
              </w:rPr>
              <w:br/>
            </w:r>
            <w:r>
              <w:rPr>
                <w:rFonts w:cs="Arial"/>
                <w:color w:val="000000"/>
                <w:sz w:val="18"/>
                <w:szCs w:val="18"/>
              </w:rPr>
              <w:t>Add</w:t>
            </w:r>
            <w:r w:rsidR="00006F1F">
              <w:rPr>
                <w:rFonts w:cs="Arial"/>
                <w:color w:val="000000"/>
                <w:sz w:val="18"/>
                <w:szCs w:val="18"/>
              </w:rPr>
              <w:t>t</w:t>
            </w:r>
            <w:r w:rsidR="000348AF">
              <w:rPr>
                <w:rFonts w:cs="Arial"/>
                <w:color w:val="000000"/>
                <w:sz w:val="18"/>
                <w:szCs w:val="18"/>
              </w:rPr>
              <w:t>’l</w:t>
            </w:r>
            <w:r>
              <w:rPr>
                <w:rFonts w:cs="Arial"/>
                <w:color w:val="000000"/>
                <w:sz w:val="18"/>
                <w:szCs w:val="18"/>
              </w:rPr>
              <w:t xml:space="preserve"> Reporting</w:t>
            </w:r>
            <w:r w:rsidRPr="00851067">
              <w:rPr>
                <w:rFonts w:cs="Arial"/>
                <w:color w:val="000000"/>
                <w:sz w:val="18"/>
                <w:szCs w:val="18"/>
              </w:rPr>
              <w:t xml:space="preserve"> Level 2</w:t>
            </w:r>
            <w:r>
              <w:rPr>
                <w:rFonts w:cs="Arial"/>
                <w:color w:val="000000"/>
                <w:sz w:val="18"/>
                <w:szCs w:val="18"/>
              </w:rPr>
              <w:t>+</w:t>
            </w:r>
          </w:p>
        </w:tc>
        <w:tc>
          <w:tcPr>
            <w:tcW w:w="1123" w:type="dxa"/>
            <w:tcBorders>
              <w:bottom w:val="single" w:sz="8" w:space="0" w:color="000000" w:themeColor="text1"/>
            </w:tcBorders>
            <w:noWrap/>
            <w:vAlign w:val="center"/>
            <w:hideMark/>
          </w:tcPr>
          <w:p w14:paraId="4AF452E8" w14:textId="42296A25" w:rsidR="00EA1368" w:rsidRPr="00006F1F" w:rsidRDefault="00EA1368" w:rsidP="00126B82">
            <w:pPr>
              <w:spacing w:before="60" w:after="60"/>
              <w:jc w:val="center"/>
              <w:rPr>
                <w:rFonts w:cs="Arial"/>
                <w:color w:val="000000"/>
                <w:sz w:val="18"/>
                <w:szCs w:val="18"/>
              </w:rPr>
            </w:pPr>
            <w:r w:rsidRPr="00006F1F">
              <w:rPr>
                <w:rFonts w:cs="Arial"/>
                <w:color w:val="000000"/>
                <w:sz w:val="18"/>
                <w:szCs w:val="18"/>
              </w:rPr>
              <w:t>3</w:t>
            </w:r>
            <w:r w:rsidRPr="00006F1F">
              <w:rPr>
                <w:rFonts w:cs="Arial"/>
                <w:color w:val="000000"/>
                <w:sz w:val="18"/>
                <w:szCs w:val="18"/>
              </w:rPr>
              <w:br/>
              <w:t>4-15</w:t>
            </w:r>
          </w:p>
        </w:tc>
        <w:tc>
          <w:tcPr>
            <w:tcW w:w="2677" w:type="dxa"/>
            <w:tcBorders>
              <w:bottom w:val="single" w:sz="8" w:space="0" w:color="000000" w:themeColor="text1"/>
            </w:tcBorders>
            <w:vAlign w:val="center"/>
            <w:hideMark/>
          </w:tcPr>
          <w:p w14:paraId="428BEA5E" w14:textId="77777777" w:rsidR="00292378" w:rsidRDefault="00292378" w:rsidP="00126B82">
            <w:pPr>
              <w:spacing w:before="60" w:after="60"/>
              <w:rPr>
                <w:rFonts w:cs="Arial"/>
                <w:color w:val="000000"/>
                <w:sz w:val="18"/>
                <w:szCs w:val="18"/>
              </w:rPr>
            </w:pPr>
            <w:r>
              <w:rPr>
                <w:rFonts w:cs="Arial"/>
                <w:color w:val="000000"/>
                <w:sz w:val="18"/>
                <w:szCs w:val="18"/>
              </w:rPr>
              <w:t>Integer</w:t>
            </w:r>
            <w:r w:rsidR="00EA1368">
              <w:rPr>
                <w:rFonts w:cs="Arial"/>
                <w:color w:val="000000"/>
                <w:sz w:val="18"/>
                <w:szCs w:val="18"/>
              </w:rPr>
              <w:t xml:space="preserve"> </w:t>
            </w:r>
          </w:p>
          <w:p w14:paraId="1A1D583D" w14:textId="49D9F2AB" w:rsidR="00EA1368" w:rsidRPr="00851067" w:rsidRDefault="00EA1368" w:rsidP="00126B82">
            <w:pPr>
              <w:spacing w:before="60" w:after="60"/>
              <w:rPr>
                <w:rFonts w:cs="Arial"/>
                <w:color w:val="000000"/>
                <w:sz w:val="18"/>
                <w:szCs w:val="18"/>
              </w:rPr>
            </w:pPr>
            <w:r w:rsidRPr="00851067">
              <w:rPr>
                <w:rFonts w:cs="Arial"/>
                <w:color w:val="000000"/>
                <w:sz w:val="18"/>
                <w:szCs w:val="18"/>
              </w:rPr>
              <w:t xml:space="preserve">Agency + </w:t>
            </w:r>
            <w:r>
              <w:rPr>
                <w:rFonts w:cs="Arial"/>
                <w:color w:val="000000"/>
                <w:sz w:val="18"/>
                <w:szCs w:val="18"/>
              </w:rPr>
              <w:t>Alphanumeric</w:t>
            </w:r>
          </w:p>
        </w:tc>
        <w:tc>
          <w:tcPr>
            <w:tcW w:w="1070" w:type="dxa"/>
            <w:tcBorders>
              <w:bottom w:val="single" w:sz="8" w:space="0" w:color="000000" w:themeColor="text1"/>
            </w:tcBorders>
            <w:vAlign w:val="center"/>
            <w:hideMark/>
          </w:tcPr>
          <w:p w14:paraId="72CEDA59" w14:textId="493F732C" w:rsidR="00EA1368" w:rsidRPr="00851067" w:rsidRDefault="00EA1368" w:rsidP="00126B82">
            <w:pPr>
              <w:spacing w:before="60" w:after="60"/>
              <w:rPr>
                <w:rFonts w:cs="Arial"/>
                <w:color w:val="000000"/>
                <w:sz w:val="18"/>
                <w:szCs w:val="18"/>
              </w:rPr>
            </w:pPr>
            <w:r>
              <w:rPr>
                <w:rFonts w:cs="Arial"/>
                <w:color w:val="000000"/>
                <w:sz w:val="18"/>
                <w:szCs w:val="18"/>
              </w:rPr>
              <w:t>Centrally</w:t>
            </w:r>
            <w:r w:rsidRPr="00851067">
              <w:rPr>
                <w:rFonts w:cs="Arial"/>
                <w:color w:val="000000"/>
                <w:sz w:val="18"/>
                <w:szCs w:val="18"/>
              </w:rPr>
              <w:br/>
              <w:t>Agency</w:t>
            </w:r>
          </w:p>
        </w:tc>
      </w:tr>
      <w:tr w:rsidR="00006F1F" w:rsidRPr="00851067" w14:paraId="39A25DC3" w14:textId="77777777" w:rsidTr="00126B82">
        <w:trPr>
          <w:trHeight w:val="770"/>
        </w:trPr>
        <w:tc>
          <w:tcPr>
            <w:tcW w:w="1544" w:type="dxa"/>
            <w:noWrap/>
            <w:vAlign w:val="center"/>
          </w:tcPr>
          <w:p w14:paraId="5C73114B" w14:textId="22322BCA" w:rsidR="00E67826" w:rsidRPr="00851067" w:rsidRDefault="00292378" w:rsidP="00126B82">
            <w:pPr>
              <w:spacing w:before="60" w:after="60"/>
              <w:rPr>
                <w:rFonts w:cs="Arial"/>
                <w:b/>
                <w:color w:val="000000"/>
                <w:sz w:val="18"/>
                <w:szCs w:val="18"/>
              </w:rPr>
            </w:pPr>
            <w:r>
              <w:rPr>
                <w:rFonts w:cs="Arial"/>
                <w:b/>
                <w:color w:val="000000"/>
                <w:sz w:val="18"/>
                <w:szCs w:val="18"/>
              </w:rPr>
              <w:t>Trust Account</w:t>
            </w:r>
            <w:r w:rsidRPr="00851067" w:rsidDel="00E67826">
              <w:rPr>
                <w:rFonts w:cs="Arial"/>
                <w:b/>
                <w:color w:val="000000"/>
                <w:sz w:val="18"/>
                <w:szCs w:val="18"/>
              </w:rPr>
              <w:t xml:space="preserve"> </w:t>
            </w:r>
          </w:p>
        </w:tc>
        <w:tc>
          <w:tcPr>
            <w:tcW w:w="2946" w:type="dxa"/>
            <w:vAlign w:val="center"/>
          </w:tcPr>
          <w:p w14:paraId="796388D0" w14:textId="79C69ED3" w:rsidR="00E67826" w:rsidRDefault="00292378" w:rsidP="00126B82">
            <w:pPr>
              <w:spacing w:before="60" w:after="60"/>
              <w:rPr>
                <w:rFonts w:cs="Arial"/>
                <w:color w:val="000000"/>
                <w:sz w:val="18"/>
                <w:szCs w:val="18"/>
              </w:rPr>
            </w:pPr>
            <w:r>
              <w:rPr>
                <w:rFonts w:cs="Arial"/>
                <w:color w:val="000000"/>
                <w:sz w:val="18"/>
                <w:szCs w:val="18"/>
              </w:rPr>
              <w:t>Trust Account Level 1 (Agency)</w:t>
            </w:r>
          </w:p>
          <w:p w14:paraId="456B4EA6" w14:textId="6671CADF" w:rsidR="00292378" w:rsidRPr="00851067" w:rsidRDefault="00292378" w:rsidP="00126B82">
            <w:pPr>
              <w:spacing w:before="60" w:after="60"/>
              <w:rPr>
                <w:rFonts w:cs="Arial"/>
                <w:color w:val="000000"/>
                <w:sz w:val="18"/>
                <w:szCs w:val="18"/>
              </w:rPr>
            </w:pPr>
            <w:r>
              <w:rPr>
                <w:rFonts w:cs="Arial"/>
                <w:color w:val="000000"/>
                <w:sz w:val="18"/>
                <w:szCs w:val="18"/>
              </w:rPr>
              <w:t>Trust Account Level 2+</w:t>
            </w:r>
          </w:p>
        </w:tc>
        <w:tc>
          <w:tcPr>
            <w:tcW w:w="1123" w:type="dxa"/>
            <w:vAlign w:val="center"/>
          </w:tcPr>
          <w:p w14:paraId="1900A6C3" w14:textId="53C7F891" w:rsidR="00292378" w:rsidRPr="00006F1F" w:rsidRDefault="00292378" w:rsidP="00126B82">
            <w:pPr>
              <w:spacing w:before="60" w:after="60"/>
              <w:jc w:val="center"/>
              <w:rPr>
                <w:rFonts w:cs="Arial"/>
                <w:color w:val="000000"/>
                <w:sz w:val="18"/>
                <w:szCs w:val="18"/>
              </w:rPr>
            </w:pPr>
            <w:r w:rsidRPr="00006F1F">
              <w:rPr>
                <w:rFonts w:cs="Arial"/>
                <w:color w:val="000000"/>
                <w:sz w:val="18"/>
                <w:szCs w:val="18"/>
              </w:rPr>
              <w:t>3</w:t>
            </w:r>
          </w:p>
          <w:p w14:paraId="40B51F6E" w14:textId="1E99EC14" w:rsidR="00292378" w:rsidRPr="00006F1F" w:rsidRDefault="00292378" w:rsidP="00126B82">
            <w:pPr>
              <w:spacing w:before="60" w:after="60"/>
              <w:jc w:val="center"/>
              <w:rPr>
                <w:rFonts w:cs="Arial"/>
                <w:color w:val="000000"/>
                <w:sz w:val="18"/>
                <w:szCs w:val="18"/>
              </w:rPr>
            </w:pPr>
            <w:r w:rsidRPr="00006F1F">
              <w:rPr>
                <w:rFonts w:cs="Arial"/>
                <w:color w:val="000000"/>
                <w:sz w:val="18"/>
                <w:szCs w:val="18"/>
              </w:rPr>
              <w:t>4-15</w:t>
            </w:r>
          </w:p>
        </w:tc>
        <w:tc>
          <w:tcPr>
            <w:tcW w:w="2677" w:type="dxa"/>
            <w:vAlign w:val="center"/>
          </w:tcPr>
          <w:p w14:paraId="16D8A567" w14:textId="55B6BA2D" w:rsidR="00E67826" w:rsidRDefault="00292378" w:rsidP="00126B82">
            <w:pPr>
              <w:spacing w:before="60" w:after="60"/>
              <w:rPr>
                <w:rFonts w:cs="Arial"/>
                <w:color w:val="000000"/>
                <w:sz w:val="18"/>
                <w:szCs w:val="18"/>
              </w:rPr>
            </w:pPr>
            <w:r>
              <w:rPr>
                <w:rFonts w:cs="Arial"/>
                <w:color w:val="000000"/>
                <w:sz w:val="18"/>
                <w:szCs w:val="18"/>
              </w:rPr>
              <w:t>Integer</w:t>
            </w:r>
          </w:p>
          <w:p w14:paraId="7F8392BA" w14:textId="52EB03FD" w:rsidR="00292378" w:rsidRPr="00851067" w:rsidRDefault="00E459D3" w:rsidP="00126B82">
            <w:pPr>
              <w:spacing w:before="60" w:after="60"/>
              <w:rPr>
                <w:rFonts w:cs="Arial"/>
                <w:color w:val="000000"/>
                <w:sz w:val="18"/>
                <w:szCs w:val="18"/>
              </w:rPr>
            </w:pPr>
            <w:r>
              <w:rPr>
                <w:rFonts w:cs="Arial"/>
                <w:color w:val="000000"/>
                <w:sz w:val="18"/>
                <w:szCs w:val="18"/>
              </w:rPr>
              <w:t>Agency + Alphanumeric</w:t>
            </w:r>
          </w:p>
        </w:tc>
        <w:tc>
          <w:tcPr>
            <w:tcW w:w="1070" w:type="dxa"/>
            <w:vAlign w:val="center"/>
          </w:tcPr>
          <w:p w14:paraId="15622239" w14:textId="77777777" w:rsidR="00E67826" w:rsidRDefault="00292378" w:rsidP="00126B82">
            <w:pPr>
              <w:spacing w:before="60" w:after="60"/>
              <w:rPr>
                <w:rFonts w:cs="Arial"/>
                <w:color w:val="000000"/>
                <w:sz w:val="18"/>
                <w:szCs w:val="18"/>
              </w:rPr>
            </w:pPr>
            <w:r>
              <w:rPr>
                <w:rFonts w:cs="Arial"/>
                <w:color w:val="000000"/>
                <w:sz w:val="18"/>
                <w:szCs w:val="18"/>
              </w:rPr>
              <w:t>Centrally</w:t>
            </w:r>
          </w:p>
          <w:p w14:paraId="75A0EC9E" w14:textId="5F65E570" w:rsidR="00006F1F" w:rsidRPr="00851067" w:rsidRDefault="00006F1F" w:rsidP="00126B82">
            <w:pPr>
              <w:spacing w:before="60" w:after="60"/>
              <w:rPr>
                <w:rFonts w:cs="Arial"/>
                <w:color w:val="000000"/>
                <w:sz w:val="18"/>
                <w:szCs w:val="18"/>
              </w:rPr>
            </w:pPr>
            <w:r>
              <w:rPr>
                <w:rFonts w:cs="Arial"/>
                <w:color w:val="000000"/>
                <w:sz w:val="18"/>
                <w:szCs w:val="18"/>
              </w:rPr>
              <w:t>Agency</w:t>
            </w:r>
          </w:p>
        </w:tc>
      </w:tr>
      <w:tr w:rsidR="00006F1F" w:rsidRPr="00851067" w14:paraId="291BE288" w14:textId="77777777" w:rsidTr="00126B82">
        <w:trPr>
          <w:trHeight w:val="770"/>
        </w:trPr>
        <w:tc>
          <w:tcPr>
            <w:tcW w:w="1544" w:type="dxa"/>
            <w:noWrap/>
            <w:vAlign w:val="center"/>
            <w:hideMark/>
          </w:tcPr>
          <w:p w14:paraId="24F3DF21" w14:textId="77777777" w:rsidR="00E67826" w:rsidRPr="00851067" w:rsidRDefault="00E67826" w:rsidP="00126B82">
            <w:pPr>
              <w:spacing w:before="60" w:after="60"/>
              <w:rPr>
                <w:rFonts w:cs="Arial"/>
                <w:b/>
                <w:color w:val="000000"/>
                <w:sz w:val="18"/>
                <w:szCs w:val="18"/>
              </w:rPr>
            </w:pPr>
            <w:r w:rsidRPr="00851067">
              <w:rPr>
                <w:rFonts w:cs="Arial"/>
                <w:b/>
                <w:color w:val="000000"/>
                <w:sz w:val="18"/>
                <w:szCs w:val="18"/>
              </w:rPr>
              <w:t>Funding Source</w:t>
            </w:r>
          </w:p>
        </w:tc>
        <w:tc>
          <w:tcPr>
            <w:tcW w:w="2946" w:type="dxa"/>
            <w:vAlign w:val="center"/>
            <w:hideMark/>
          </w:tcPr>
          <w:p w14:paraId="5D6748D8" w14:textId="479E103C" w:rsidR="00E67826" w:rsidRDefault="000D6C21" w:rsidP="00126B82">
            <w:pPr>
              <w:spacing w:before="60" w:after="60"/>
              <w:rPr>
                <w:rFonts w:cs="Arial"/>
                <w:color w:val="000000"/>
                <w:sz w:val="18"/>
                <w:szCs w:val="18"/>
              </w:rPr>
            </w:pPr>
            <w:r>
              <w:rPr>
                <w:rFonts w:cs="Arial"/>
                <w:color w:val="000000"/>
                <w:sz w:val="18"/>
                <w:szCs w:val="18"/>
              </w:rPr>
              <w:t>Funding Source Level 1 (Agency)</w:t>
            </w:r>
          </w:p>
          <w:p w14:paraId="3AC3ADEF" w14:textId="73CA5164" w:rsidR="000D6C21" w:rsidRPr="00851067" w:rsidRDefault="000D6C21" w:rsidP="00126B82">
            <w:pPr>
              <w:spacing w:before="60" w:after="60"/>
              <w:rPr>
                <w:rFonts w:cs="Arial"/>
                <w:color w:val="000000"/>
                <w:sz w:val="18"/>
                <w:szCs w:val="18"/>
              </w:rPr>
            </w:pPr>
            <w:r>
              <w:rPr>
                <w:rFonts w:cs="Arial"/>
                <w:color w:val="000000"/>
                <w:sz w:val="18"/>
                <w:szCs w:val="18"/>
              </w:rPr>
              <w:t>Funding Source Level 2+</w:t>
            </w:r>
          </w:p>
        </w:tc>
        <w:tc>
          <w:tcPr>
            <w:tcW w:w="1123" w:type="dxa"/>
            <w:vAlign w:val="center"/>
            <w:hideMark/>
          </w:tcPr>
          <w:p w14:paraId="7FF48575" w14:textId="46BF7542" w:rsidR="00E67826" w:rsidRPr="00006F1F" w:rsidRDefault="000D6C21" w:rsidP="00126B82">
            <w:pPr>
              <w:spacing w:before="60" w:after="60"/>
              <w:jc w:val="center"/>
              <w:rPr>
                <w:rFonts w:cs="Arial"/>
                <w:color w:val="000000"/>
                <w:sz w:val="18"/>
                <w:szCs w:val="18"/>
              </w:rPr>
            </w:pPr>
            <w:r w:rsidRPr="00006F1F">
              <w:rPr>
                <w:rFonts w:cs="Arial"/>
                <w:color w:val="000000"/>
                <w:sz w:val="18"/>
                <w:szCs w:val="18"/>
              </w:rPr>
              <w:t>3</w:t>
            </w:r>
            <w:r w:rsidR="00E67826" w:rsidRPr="00006F1F">
              <w:rPr>
                <w:rFonts w:cs="Arial"/>
                <w:color w:val="000000"/>
                <w:sz w:val="18"/>
                <w:szCs w:val="18"/>
              </w:rPr>
              <w:br/>
            </w:r>
            <w:r w:rsidRPr="00006F1F">
              <w:rPr>
                <w:rFonts w:cs="Arial"/>
                <w:color w:val="000000"/>
                <w:sz w:val="18"/>
                <w:szCs w:val="18"/>
              </w:rPr>
              <w:t>4-15</w:t>
            </w:r>
          </w:p>
        </w:tc>
        <w:tc>
          <w:tcPr>
            <w:tcW w:w="2677" w:type="dxa"/>
            <w:vAlign w:val="center"/>
            <w:hideMark/>
          </w:tcPr>
          <w:p w14:paraId="62B0DF53" w14:textId="3A023CA5" w:rsidR="00E67826" w:rsidRPr="00851067" w:rsidRDefault="000D6C21" w:rsidP="00126B82">
            <w:pPr>
              <w:spacing w:before="60" w:after="60"/>
              <w:rPr>
                <w:rFonts w:cs="Arial"/>
                <w:color w:val="000000"/>
                <w:sz w:val="18"/>
                <w:szCs w:val="18"/>
              </w:rPr>
            </w:pPr>
            <w:r>
              <w:rPr>
                <w:rFonts w:cs="Arial"/>
                <w:color w:val="000000"/>
                <w:sz w:val="18"/>
                <w:szCs w:val="18"/>
              </w:rPr>
              <w:t>Integer</w:t>
            </w:r>
            <w:r w:rsidR="00E67826" w:rsidRPr="00851067">
              <w:rPr>
                <w:rFonts w:cs="Arial"/>
                <w:color w:val="000000"/>
                <w:sz w:val="18"/>
                <w:szCs w:val="18"/>
              </w:rPr>
              <w:br/>
            </w:r>
            <w:r>
              <w:rPr>
                <w:rFonts w:cs="Arial"/>
                <w:color w:val="000000"/>
                <w:sz w:val="18"/>
                <w:szCs w:val="18"/>
              </w:rPr>
              <w:t xml:space="preserve">Agency + </w:t>
            </w:r>
            <w:r w:rsidR="00E67826" w:rsidRPr="00851067">
              <w:rPr>
                <w:rFonts w:cs="Arial"/>
                <w:color w:val="000000"/>
                <w:sz w:val="18"/>
                <w:szCs w:val="18"/>
              </w:rPr>
              <w:t>Alphanumeric</w:t>
            </w:r>
          </w:p>
        </w:tc>
        <w:tc>
          <w:tcPr>
            <w:tcW w:w="1070" w:type="dxa"/>
            <w:vAlign w:val="center"/>
            <w:hideMark/>
          </w:tcPr>
          <w:p w14:paraId="36745CE1" w14:textId="7EED2D24" w:rsidR="00E67826" w:rsidRPr="00851067" w:rsidRDefault="00E67826" w:rsidP="00126B82">
            <w:pPr>
              <w:spacing w:before="60" w:after="60"/>
              <w:rPr>
                <w:rFonts w:cs="Arial"/>
                <w:color w:val="000000"/>
                <w:sz w:val="18"/>
                <w:szCs w:val="18"/>
              </w:rPr>
            </w:pPr>
            <w:r w:rsidRPr="00851067">
              <w:rPr>
                <w:rFonts w:cs="Arial"/>
                <w:color w:val="000000"/>
                <w:sz w:val="18"/>
                <w:szCs w:val="18"/>
              </w:rPr>
              <w:t>Centrally</w:t>
            </w:r>
            <w:r w:rsidRPr="00851067">
              <w:rPr>
                <w:rFonts w:cs="Arial"/>
                <w:color w:val="000000"/>
                <w:sz w:val="18"/>
                <w:szCs w:val="18"/>
              </w:rPr>
              <w:br/>
              <w:t>Agency</w:t>
            </w:r>
          </w:p>
        </w:tc>
      </w:tr>
      <w:tr w:rsidR="00006F1F" w:rsidRPr="00851067" w14:paraId="2987A662" w14:textId="77777777" w:rsidTr="00126B82">
        <w:trPr>
          <w:trHeight w:val="770"/>
        </w:trPr>
        <w:tc>
          <w:tcPr>
            <w:tcW w:w="1544" w:type="dxa"/>
            <w:noWrap/>
            <w:vAlign w:val="center"/>
          </w:tcPr>
          <w:p w14:paraId="45563A1E" w14:textId="50076DA5" w:rsidR="00E67826" w:rsidRPr="00851067" w:rsidRDefault="00E67826" w:rsidP="00126B82">
            <w:pPr>
              <w:spacing w:before="60" w:after="60"/>
              <w:rPr>
                <w:rFonts w:cs="Arial"/>
                <w:b/>
                <w:color w:val="000000"/>
                <w:sz w:val="18"/>
                <w:szCs w:val="18"/>
              </w:rPr>
            </w:pPr>
            <w:r>
              <w:rPr>
                <w:rFonts w:cs="Arial"/>
                <w:b/>
                <w:color w:val="000000"/>
                <w:sz w:val="18"/>
                <w:szCs w:val="18"/>
              </w:rPr>
              <w:t>System Interagency</w:t>
            </w:r>
          </w:p>
        </w:tc>
        <w:tc>
          <w:tcPr>
            <w:tcW w:w="2946" w:type="dxa"/>
            <w:vAlign w:val="center"/>
          </w:tcPr>
          <w:p w14:paraId="180065F2" w14:textId="20EC999E" w:rsidR="00E67826" w:rsidRPr="00851067" w:rsidRDefault="00E459D3" w:rsidP="00126B82">
            <w:pPr>
              <w:spacing w:before="60" w:after="60"/>
              <w:rPr>
                <w:rFonts w:cs="Arial"/>
                <w:color w:val="000000"/>
                <w:sz w:val="18"/>
                <w:szCs w:val="18"/>
              </w:rPr>
            </w:pPr>
            <w:r>
              <w:rPr>
                <w:rFonts w:cs="Arial"/>
                <w:color w:val="000000"/>
                <w:sz w:val="18"/>
                <w:szCs w:val="18"/>
              </w:rPr>
              <w:t>System Interagency Level 1 (Agency)</w:t>
            </w:r>
          </w:p>
        </w:tc>
        <w:tc>
          <w:tcPr>
            <w:tcW w:w="1123" w:type="dxa"/>
            <w:vAlign w:val="center"/>
          </w:tcPr>
          <w:p w14:paraId="6253AE9B" w14:textId="75637ED1" w:rsidR="00E67826" w:rsidRPr="00006F1F" w:rsidRDefault="00E459D3" w:rsidP="00126B82">
            <w:pPr>
              <w:spacing w:before="60" w:after="60"/>
              <w:jc w:val="center"/>
              <w:rPr>
                <w:rFonts w:cs="Arial"/>
                <w:color w:val="000000"/>
                <w:sz w:val="18"/>
                <w:szCs w:val="18"/>
              </w:rPr>
            </w:pPr>
            <w:r w:rsidRPr="00006F1F">
              <w:rPr>
                <w:rFonts w:cs="Arial"/>
                <w:color w:val="000000"/>
                <w:sz w:val="18"/>
                <w:szCs w:val="18"/>
              </w:rPr>
              <w:t>3</w:t>
            </w:r>
          </w:p>
        </w:tc>
        <w:tc>
          <w:tcPr>
            <w:tcW w:w="2677" w:type="dxa"/>
            <w:vAlign w:val="center"/>
          </w:tcPr>
          <w:p w14:paraId="3F5E6B44" w14:textId="2CC92A29" w:rsidR="00E67826" w:rsidRPr="00851067" w:rsidRDefault="00E459D3" w:rsidP="00126B82">
            <w:pPr>
              <w:spacing w:before="60" w:after="60"/>
              <w:rPr>
                <w:rFonts w:cs="Arial"/>
                <w:color w:val="000000"/>
                <w:sz w:val="18"/>
                <w:szCs w:val="18"/>
              </w:rPr>
            </w:pPr>
            <w:r>
              <w:rPr>
                <w:rFonts w:cs="Arial"/>
                <w:color w:val="000000"/>
                <w:sz w:val="18"/>
                <w:szCs w:val="18"/>
              </w:rPr>
              <w:t>Integer</w:t>
            </w:r>
          </w:p>
        </w:tc>
        <w:tc>
          <w:tcPr>
            <w:tcW w:w="1070" w:type="dxa"/>
            <w:vAlign w:val="center"/>
          </w:tcPr>
          <w:p w14:paraId="2445EC51" w14:textId="236F6A2A" w:rsidR="00E67826" w:rsidRPr="00851067" w:rsidRDefault="00E459D3" w:rsidP="00126B82">
            <w:pPr>
              <w:spacing w:before="60" w:after="60"/>
              <w:rPr>
                <w:rFonts w:cs="Arial"/>
                <w:color w:val="000000"/>
                <w:sz w:val="18"/>
                <w:szCs w:val="18"/>
              </w:rPr>
            </w:pPr>
            <w:r>
              <w:rPr>
                <w:rFonts w:cs="Arial"/>
                <w:color w:val="000000"/>
                <w:sz w:val="18"/>
                <w:szCs w:val="18"/>
              </w:rPr>
              <w:t>Centrally</w:t>
            </w:r>
          </w:p>
        </w:tc>
      </w:tr>
    </w:tbl>
    <w:p w14:paraId="5849062D" w14:textId="6BE9A7CD" w:rsidR="0029197E" w:rsidRPr="00956208" w:rsidRDefault="0029197E" w:rsidP="009C643D">
      <w:pPr>
        <w:pStyle w:val="Bodycopy"/>
      </w:pPr>
    </w:p>
    <w:sectPr w:rsidR="0029197E" w:rsidRPr="00956208" w:rsidSect="002D2121">
      <w:headerReference w:type="default" r:id="rId28"/>
      <w:footerReference w:type="default" r:id="rId29"/>
      <w:pgSz w:w="12240" w:h="15840" w:code="1"/>
      <w:pgMar w:top="1440" w:right="1440" w:bottom="1440" w:left="1440" w:header="720" w:footer="720"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12C3" w14:textId="77777777" w:rsidR="00DF6F07" w:rsidRDefault="00DF6F07">
      <w:r>
        <w:separator/>
      </w:r>
    </w:p>
    <w:p w14:paraId="39AAAF7D" w14:textId="77777777" w:rsidR="00DF6F07" w:rsidRDefault="00DF6F07"/>
    <w:p w14:paraId="641B1092" w14:textId="77777777" w:rsidR="00DF6F07" w:rsidRDefault="00DF6F07"/>
  </w:endnote>
  <w:endnote w:type="continuationSeparator" w:id="0">
    <w:p w14:paraId="24B3B1AD" w14:textId="77777777" w:rsidR="00DF6F07" w:rsidRDefault="00DF6F07">
      <w:r>
        <w:continuationSeparator/>
      </w:r>
    </w:p>
    <w:p w14:paraId="1CB404DA" w14:textId="77777777" w:rsidR="00DF6F07" w:rsidRDefault="00DF6F07"/>
    <w:p w14:paraId="412AF237" w14:textId="77777777" w:rsidR="00DF6F07" w:rsidRDefault="00DF6F07"/>
  </w:endnote>
  <w:endnote w:type="continuationNotice" w:id="1">
    <w:p w14:paraId="021D15E5" w14:textId="77777777" w:rsidR="00DF6F07" w:rsidRDefault="00DF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6FE4" w14:textId="77777777" w:rsidR="001E1761" w:rsidRDefault="001E1761"/>
  <w:tbl>
    <w:tblPr>
      <w:tblW w:w="0" w:type="auto"/>
      <w:tblCellSpacing w:w="20" w:type="dxa"/>
      <w:tblBorders>
        <w:top w:val="single" w:sz="8" w:space="0" w:color="002776"/>
      </w:tblBorders>
      <w:tblLook w:val="04A0" w:firstRow="1" w:lastRow="0" w:firstColumn="1" w:lastColumn="0" w:noHBand="0" w:noVBand="1"/>
    </w:tblPr>
    <w:tblGrid>
      <w:gridCol w:w="3105"/>
      <w:gridCol w:w="3115"/>
      <w:gridCol w:w="3140"/>
    </w:tblGrid>
    <w:tr w:rsidR="001E1761" w:rsidRPr="00E860E8" w14:paraId="324FDC7C" w14:textId="77777777" w:rsidTr="00200040">
      <w:trPr>
        <w:tblCellSpacing w:w="20" w:type="dxa"/>
      </w:trPr>
      <w:tc>
        <w:tcPr>
          <w:tcW w:w="3045" w:type="dxa"/>
        </w:tcPr>
        <w:p w14:paraId="15EA3B0C" w14:textId="77777777" w:rsidR="001E1761" w:rsidRPr="00E860E8" w:rsidRDefault="001E1761" w:rsidP="00200040">
          <w:pPr>
            <w:pStyle w:val="Footer"/>
            <w:jc w:val="both"/>
            <w:rPr>
              <w:rFonts w:cs="Arial"/>
              <w:sz w:val="20"/>
            </w:rPr>
          </w:pPr>
          <w:r>
            <w:rPr>
              <w:rFonts w:cs="Arial"/>
              <w:sz w:val="20"/>
            </w:rPr>
            <w:t>DEL – 020</w:t>
          </w:r>
        </w:p>
      </w:tc>
      <w:tc>
        <w:tcPr>
          <w:tcW w:w="3075" w:type="dxa"/>
        </w:tcPr>
        <w:p w14:paraId="55E7FE32" w14:textId="77777777" w:rsidR="001E1761" w:rsidRPr="00E860E8" w:rsidRDefault="001E1761" w:rsidP="00200040">
          <w:pPr>
            <w:pStyle w:val="Footer"/>
            <w:jc w:val="center"/>
            <w:rPr>
              <w:rFonts w:cs="Arial"/>
              <w:sz w:val="20"/>
            </w:rPr>
          </w:pPr>
          <w:r w:rsidRPr="00E860E8">
            <w:rPr>
              <w:rFonts w:cs="Arial"/>
              <w:sz w:val="20"/>
            </w:rPr>
            <w:t xml:space="preserve">Page </w:t>
          </w:r>
          <w:r w:rsidRPr="00E860E8">
            <w:rPr>
              <w:rFonts w:cs="Arial"/>
              <w:sz w:val="20"/>
            </w:rPr>
            <w:fldChar w:fldCharType="begin"/>
          </w:r>
          <w:r w:rsidRPr="00E860E8">
            <w:rPr>
              <w:rFonts w:cs="Arial"/>
              <w:sz w:val="20"/>
            </w:rPr>
            <w:instrText xml:space="preserve"> PAGE  \* roman  \* MERGEFORMAT </w:instrText>
          </w:r>
          <w:r w:rsidRPr="00E860E8">
            <w:rPr>
              <w:rFonts w:cs="Arial"/>
              <w:sz w:val="20"/>
            </w:rPr>
            <w:fldChar w:fldCharType="separate"/>
          </w:r>
          <w:r>
            <w:rPr>
              <w:rFonts w:cs="Arial"/>
              <w:noProof/>
              <w:sz w:val="20"/>
            </w:rPr>
            <w:t>iii</w:t>
          </w:r>
          <w:r w:rsidRPr="00E860E8">
            <w:rPr>
              <w:rFonts w:cs="Arial"/>
              <w:sz w:val="20"/>
            </w:rPr>
            <w:fldChar w:fldCharType="end"/>
          </w:r>
        </w:p>
      </w:tc>
      <w:tc>
        <w:tcPr>
          <w:tcW w:w="3080" w:type="dxa"/>
        </w:tcPr>
        <w:p w14:paraId="400F9EE7" w14:textId="77777777" w:rsidR="001E1761" w:rsidRPr="00E860E8" w:rsidRDefault="001E1761" w:rsidP="00200040">
          <w:pPr>
            <w:pStyle w:val="Footer"/>
            <w:jc w:val="right"/>
            <w:rPr>
              <w:sz w:val="20"/>
            </w:rPr>
          </w:pPr>
          <w:r>
            <w:rPr>
              <w:sz w:val="20"/>
            </w:rPr>
            <w:t>Luma Project</w:t>
          </w:r>
        </w:p>
      </w:tc>
    </w:tr>
    <w:tr w:rsidR="001E1761" w:rsidRPr="00E860E8" w14:paraId="5DD0CCF1" w14:textId="77777777" w:rsidTr="00200040">
      <w:trPr>
        <w:tblCellSpacing w:w="20" w:type="dxa"/>
      </w:trPr>
      <w:tc>
        <w:tcPr>
          <w:tcW w:w="3045" w:type="dxa"/>
        </w:tcPr>
        <w:p w14:paraId="3CCA4F59" w14:textId="77777777" w:rsidR="001E1761" w:rsidRPr="00E860E8" w:rsidRDefault="001E1761" w:rsidP="00200040">
          <w:pPr>
            <w:pStyle w:val="Footer"/>
            <w:jc w:val="both"/>
            <w:rPr>
              <w:sz w:val="20"/>
            </w:rPr>
          </w:pPr>
        </w:p>
      </w:tc>
      <w:tc>
        <w:tcPr>
          <w:tcW w:w="6195" w:type="dxa"/>
          <w:gridSpan w:val="2"/>
        </w:tcPr>
        <w:p w14:paraId="3852DC0E" w14:textId="77777777" w:rsidR="001E1761" w:rsidRPr="00E860E8" w:rsidRDefault="001E1761" w:rsidP="00200040">
          <w:pPr>
            <w:pStyle w:val="Footer"/>
            <w:jc w:val="right"/>
            <w:rPr>
              <w:rFonts w:cs="Arial"/>
              <w:sz w:val="20"/>
            </w:rPr>
          </w:pPr>
        </w:p>
      </w:tc>
    </w:tr>
  </w:tbl>
  <w:p w14:paraId="2E531ACF" w14:textId="77777777" w:rsidR="001E1761" w:rsidRPr="00E860E8" w:rsidRDefault="001E1761" w:rsidP="00200040">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9E30" w14:textId="77777777" w:rsidR="001E1761" w:rsidRDefault="001E1761">
    <w:pPr>
      <w:pStyle w:val="Footer"/>
    </w:pPr>
  </w:p>
  <w:tbl>
    <w:tblPr>
      <w:tblW w:w="0" w:type="auto"/>
      <w:tblCellSpacing w:w="20" w:type="dxa"/>
      <w:tblLook w:val="04A0" w:firstRow="1" w:lastRow="0" w:firstColumn="1" w:lastColumn="0" w:noHBand="0" w:noVBand="1"/>
    </w:tblPr>
    <w:tblGrid>
      <w:gridCol w:w="3129"/>
      <w:gridCol w:w="3103"/>
      <w:gridCol w:w="3128"/>
    </w:tblGrid>
    <w:tr w:rsidR="001E1761" w14:paraId="2B796C84" w14:textId="77777777" w:rsidTr="008D5FA8">
      <w:trPr>
        <w:tblCellSpacing w:w="20" w:type="dxa"/>
      </w:trPr>
      <w:tc>
        <w:tcPr>
          <w:tcW w:w="3167" w:type="dxa"/>
        </w:tcPr>
        <w:p w14:paraId="25CA8FC6" w14:textId="77777777" w:rsidR="001E1761" w:rsidRPr="000F0914" w:rsidRDefault="001E1761" w:rsidP="004E00D5">
          <w:pPr>
            <w:pStyle w:val="Footer"/>
            <w:jc w:val="both"/>
            <w:rPr>
              <w:rFonts w:cs="Arial"/>
            </w:rPr>
          </w:pPr>
        </w:p>
      </w:tc>
      <w:tc>
        <w:tcPr>
          <w:tcW w:w="3162" w:type="dxa"/>
        </w:tcPr>
        <w:p w14:paraId="66FA6DD4" w14:textId="77777777" w:rsidR="001E1761" w:rsidRPr="000F0914" w:rsidRDefault="001E1761" w:rsidP="004E00D5">
          <w:pPr>
            <w:pStyle w:val="Footer"/>
            <w:jc w:val="center"/>
            <w:rPr>
              <w:rFonts w:cs="Arial"/>
            </w:rPr>
          </w:pPr>
        </w:p>
      </w:tc>
      <w:tc>
        <w:tcPr>
          <w:tcW w:w="3167" w:type="dxa"/>
        </w:tcPr>
        <w:p w14:paraId="3054421F" w14:textId="77777777" w:rsidR="001E1761" w:rsidRDefault="001E1761" w:rsidP="003B2A90">
          <w:pPr>
            <w:pStyle w:val="Footer"/>
            <w:jc w:val="right"/>
          </w:pPr>
        </w:p>
      </w:tc>
    </w:tr>
  </w:tbl>
  <w:p w14:paraId="6C44C1D7" w14:textId="77777777" w:rsidR="001E1761" w:rsidRDefault="001E1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52B9" w14:textId="77777777" w:rsidR="001E1761" w:rsidRDefault="001E1761"/>
  <w:tbl>
    <w:tblPr>
      <w:tblW w:w="0" w:type="auto"/>
      <w:tblCellSpacing w:w="20" w:type="dxa"/>
      <w:tblBorders>
        <w:top w:val="single" w:sz="8" w:space="0" w:color="002776"/>
      </w:tblBorders>
      <w:tblLook w:val="04A0" w:firstRow="1" w:lastRow="0" w:firstColumn="1" w:lastColumn="0" w:noHBand="0" w:noVBand="1"/>
    </w:tblPr>
    <w:tblGrid>
      <w:gridCol w:w="3118"/>
      <w:gridCol w:w="3107"/>
      <w:gridCol w:w="3135"/>
    </w:tblGrid>
    <w:tr w:rsidR="001E1761" w:rsidRPr="00050A7D" w14:paraId="68D62B57" w14:textId="77777777" w:rsidTr="00187F6C">
      <w:trPr>
        <w:tblCellSpacing w:w="20" w:type="dxa"/>
      </w:trPr>
      <w:tc>
        <w:tcPr>
          <w:tcW w:w="3192" w:type="dxa"/>
        </w:tcPr>
        <w:p w14:paraId="4CCD5687" w14:textId="77777777" w:rsidR="001E1761" w:rsidRPr="002D2121" w:rsidRDefault="001E1761" w:rsidP="00552424">
          <w:pPr>
            <w:pStyle w:val="Footer"/>
            <w:jc w:val="both"/>
            <w:rPr>
              <w:rFonts w:cs="Arial"/>
              <w:sz w:val="20"/>
            </w:rPr>
          </w:pPr>
          <w:r>
            <w:rPr>
              <w:rFonts w:cs="Arial"/>
              <w:sz w:val="20"/>
            </w:rPr>
            <w:t>DEL – 020</w:t>
          </w:r>
        </w:p>
      </w:tc>
      <w:tc>
        <w:tcPr>
          <w:tcW w:w="3192" w:type="dxa"/>
        </w:tcPr>
        <w:p w14:paraId="7C7D5247" w14:textId="77777777" w:rsidR="001E1761" w:rsidRPr="002D2121" w:rsidRDefault="001E1761" w:rsidP="00BD5AC8">
          <w:pPr>
            <w:pStyle w:val="Footer"/>
            <w:ind w:right="80"/>
            <w:jc w:val="center"/>
            <w:rPr>
              <w:rFonts w:cs="Arial"/>
              <w:sz w:val="20"/>
            </w:rPr>
          </w:pPr>
          <w:r w:rsidRPr="002D2121">
            <w:rPr>
              <w:rFonts w:cs="Arial"/>
              <w:sz w:val="20"/>
            </w:rPr>
            <w:t xml:space="preserve">Page </w:t>
          </w:r>
          <w:r w:rsidRPr="002D2121">
            <w:rPr>
              <w:rFonts w:cs="Arial"/>
              <w:sz w:val="20"/>
            </w:rPr>
            <w:fldChar w:fldCharType="begin"/>
          </w:r>
          <w:r w:rsidRPr="002D2121">
            <w:rPr>
              <w:rFonts w:cs="Arial"/>
              <w:sz w:val="20"/>
            </w:rPr>
            <w:instrText xml:space="preserve"> PAGE  \* roman  \* MERGEFORMAT </w:instrText>
          </w:r>
          <w:r w:rsidRPr="002D2121">
            <w:rPr>
              <w:rFonts w:cs="Arial"/>
              <w:sz w:val="20"/>
            </w:rPr>
            <w:fldChar w:fldCharType="separate"/>
          </w:r>
          <w:r w:rsidRPr="002D2121">
            <w:rPr>
              <w:rFonts w:cs="Arial"/>
              <w:noProof/>
              <w:sz w:val="20"/>
            </w:rPr>
            <w:t>iv</w:t>
          </w:r>
          <w:r w:rsidRPr="002D2121">
            <w:rPr>
              <w:rFonts w:cs="Arial"/>
              <w:sz w:val="20"/>
            </w:rPr>
            <w:fldChar w:fldCharType="end"/>
          </w:r>
        </w:p>
      </w:tc>
      <w:tc>
        <w:tcPr>
          <w:tcW w:w="3192" w:type="dxa"/>
        </w:tcPr>
        <w:p w14:paraId="6ECA7ACE" w14:textId="29E576ED" w:rsidR="001E1761" w:rsidRPr="002D2121" w:rsidRDefault="001E1761" w:rsidP="00BD5AC8">
          <w:pPr>
            <w:pStyle w:val="Footer"/>
            <w:ind w:right="80"/>
            <w:jc w:val="right"/>
            <w:rPr>
              <w:sz w:val="20"/>
            </w:rPr>
          </w:pPr>
          <w:r w:rsidRPr="002D2121">
            <w:rPr>
              <w:rFonts w:cs="Arial"/>
              <w:noProof/>
              <w:sz w:val="20"/>
            </w:rPr>
            <w:fldChar w:fldCharType="begin"/>
          </w:r>
          <w:r w:rsidRPr="002D2121">
            <w:rPr>
              <w:rFonts w:cs="Arial"/>
              <w:noProof/>
              <w:sz w:val="20"/>
            </w:rPr>
            <w:instrText xml:space="preserve"> STYLEREF  "&lt;Insert name of the project&gt;"  \* MERGEFORMAT </w:instrText>
          </w:r>
          <w:r w:rsidRPr="002D2121">
            <w:rPr>
              <w:rFonts w:cs="Arial"/>
              <w:noProof/>
              <w:sz w:val="20"/>
            </w:rPr>
            <w:fldChar w:fldCharType="separate"/>
          </w:r>
          <w:r w:rsidR="00FF5DC2">
            <w:rPr>
              <w:rFonts w:cs="Arial"/>
              <w:noProof/>
              <w:sz w:val="20"/>
            </w:rPr>
            <w:t>Luma</w:t>
          </w:r>
          <w:r w:rsidRPr="002D2121">
            <w:rPr>
              <w:rFonts w:cs="Arial"/>
              <w:noProof/>
              <w:sz w:val="20"/>
            </w:rPr>
            <w:fldChar w:fldCharType="end"/>
          </w:r>
          <w:r w:rsidRPr="002D2121">
            <w:rPr>
              <w:rFonts w:cs="Arial"/>
              <w:noProof/>
              <w:sz w:val="20"/>
            </w:rPr>
            <w:t xml:space="preserve"> Project</w:t>
          </w:r>
        </w:p>
      </w:tc>
    </w:tr>
    <w:tr w:rsidR="001E1761" w:rsidRPr="00050A7D" w14:paraId="0F889B6E" w14:textId="77777777" w:rsidTr="00552424">
      <w:trPr>
        <w:tblCellSpacing w:w="20" w:type="dxa"/>
      </w:trPr>
      <w:tc>
        <w:tcPr>
          <w:tcW w:w="3192" w:type="dxa"/>
        </w:tcPr>
        <w:p w14:paraId="7B49A834" w14:textId="77777777" w:rsidR="001E1761" w:rsidRPr="002D2121" w:rsidRDefault="001E1761" w:rsidP="00187F6C">
          <w:pPr>
            <w:pStyle w:val="Footer"/>
            <w:jc w:val="both"/>
            <w:rPr>
              <w:sz w:val="20"/>
            </w:rPr>
          </w:pPr>
        </w:p>
      </w:tc>
      <w:tc>
        <w:tcPr>
          <w:tcW w:w="6424" w:type="dxa"/>
          <w:gridSpan w:val="2"/>
        </w:tcPr>
        <w:p w14:paraId="53C6DFE8" w14:textId="77777777" w:rsidR="001E1761" w:rsidRPr="002D2121" w:rsidRDefault="001E1761" w:rsidP="00BD5AC8">
          <w:pPr>
            <w:pStyle w:val="Footer"/>
            <w:ind w:right="80"/>
            <w:jc w:val="right"/>
            <w:rPr>
              <w:rFonts w:cs="Arial"/>
              <w:sz w:val="20"/>
            </w:rPr>
          </w:pPr>
        </w:p>
      </w:tc>
    </w:tr>
  </w:tbl>
  <w:p w14:paraId="06BF7DC4" w14:textId="77777777" w:rsidR="001E1761" w:rsidRDefault="001E1761" w:rsidP="00F85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CellSpacing w:w="20" w:type="dxa"/>
      <w:tblBorders>
        <w:top w:val="single" w:sz="8" w:space="0" w:color="002776"/>
      </w:tblBorders>
      <w:tblLayout w:type="fixed"/>
      <w:tblCellMar>
        <w:top w:w="14" w:type="dxa"/>
        <w:left w:w="115" w:type="dxa"/>
        <w:right w:w="115" w:type="dxa"/>
      </w:tblCellMar>
      <w:tblLook w:val="0000" w:firstRow="0" w:lastRow="0" w:firstColumn="0" w:lastColumn="0" w:noHBand="0" w:noVBand="0"/>
    </w:tblPr>
    <w:tblGrid>
      <w:gridCol w:w="3768"/>
      <w:gridCol w:w="2200"/>
      <w:gridCol w:w="3482"/>
    </w:tblGrid>
    <w:tr w:rsidR="001E1761" w:rsidRPr="00547751" w14:paraId="5A1A1E3F" w14:textId="77777777" w:rsidTr="00531E60">
      <w:trPr>
        <w:tblCellSpacing w:w="20" w:type="dxa"/>
      </w:trPr>
      <w:tc>
        <w:tcPr>
          <w:tcW w:w="3708" w:type="dxa"/>
        </w:tcPr>
        <w:p w14:paraId="2D556007" w14:textId="77777777" w:rsidR="001E1761" w:rsidRPr="001D676B" w:rsidRDefault="001E1761" w:rsidP="00531E60">
          <w:pPr>
            <w:pStyle w:val="Footer"/>
            <w:rPr>
              <w:rFonts w:cs="Arial"/>
              <w:sz w:val="20"/>
              <w:szCs w:val="18"/>
            </w:rPr>
          </w:pPr>
          <w:r>
            <w:rPr>
              <w:rFonts w:cs="Arial"/>
              <w:sz w:val="20"/>
              <w:szCs w:val="18"/>
            </w:rPr>
            <w:t>DEL – 20</w:t>
          </w:r>
        </w:p>
      </w:tc>
      <w:tc>
        <w:tcPr>
          <w:tcW w:w="2160" w:type="dxa"/>
        </w:tcPr>
        <w:p w14:paraId="3F51B2E7" w14:textId="77777777" w:rsidR="001E1761" w:rsidRPr="00547751" w:rsidRDefault="001E1761" w:rsidP="00531E60">
          <w:pPr>
            <w:pStyle w:val="Footer"/>
            <w:spacing w:after="100" w:afterAutospacing="1"/>
            <w:jc w:val="center"/>
            <w:rPr>
              <w:rFonts w:cs="Arial"/>
              <w:sz w:val="20"/>
              <w:szCs w:val="18"/>
            </w:rPr>
          </w:pPr>
          <w:r w:rsidRPr="00547751">
            <w:rPr>
              <w:rFonts w:cs="Arial"/>
              <w:sz w:val="20"/>
              <w:szCs w:val="18"/>
            </w:rPr>
            <w:t xml:space="preserve">Page </w:t>
          </w:r>
          <w:r>
            <w:rPr>
              <w:rFonts w:cs="Arial"/>
              <w:sz w:val="20"/>
              <w:szCs w:val="18"/>
            </w:rPr>
            <w:fldChar w:fldCharType="begin"/>
          </w:r>
          <w:r>
            <w:rPr>
              <w:rFonts w:cs="Arial"/>
              <w:sz w:val="20"/>
              <w:szCs w:val="18"/>
            </w:rPr>
            <w:instrText xml:space="preserve"> PAGE  \* Arabic  \* MERGEFORMAT </w:instrText>
          </w:r>
          <w:r>
            <w:rPr>
              <w:rFonts w:cs="Arial"/>
              <w:sz w:val="20"/>
              <w:szCs w:val="18"/>
            </w:rPr>
            <w:fldChar w:fldCharType="separate"/>
          </w:r>
          <w:r>
            <w:rPr>
              <w:rFonts w:cs="Arial"/>
              <w:noProof/>
              <w:sz w:val="20"/>
              <w:szCs w:val="18"/>
            </w:rPr>
            <w:t>1</w:t>
          </w:r>
          <w:r>
            <w:rPr>
              <w:rFonts w:cs="Arial"/>
              <w:sz w:val="20"/>
              <w:szCs w:val="18"/>
            </w:rPr>
            <w:fldChar w:fldCharType="end"/>
          </w:r>
          <w:r w:rsidRPr="00547751">
            <w:rPr>
              <w:rFonts w:cs="Arial"/>
              <w:sz w:val="20"/>
              <w:szCs w:val="18"/>
            </w:rPr>
            <w:t xml:space="preserve"> of </w:t>
          </w:r>
          <w:r w:rsidRPr="00547751">
            <w:rPr>
              <w:rFonts w:cs="Arial"/>
              <w:sz w:val="20"/>
              <w:szCs w:val="18"/>
            </w:rPr>
            <w:fldChar w:fldCharType="begin"/>
          </w:r>
          <w:r w:rsidRPr="00547751">
            <w:rPr>
              <w:rFonts w:cs="Arial"/>
              <w:sz w:val="20"/>
              <w:szCs w:val="18"/>
            </w:rPr>
            <w:instrText xml:space="preserve"> NUMPAGES </w:instrText>
          </w:r>
          <w:r w:rsidRPr="00547751">
            <w:rPr>
              <w:rFonts w:cs="Arial"/>
              <w:sz w:val="20"/>
              <w:szCs w:val="18"/>
            </w:rPr>
            <w:fldChar w:fldCharType="separate"/>
          </w:r>
          <w:r>
            <w:rPr>
              <w:rFonts w:cs="Arial"/>
              <w:noProof/>
              <w:sz w:val="20"/>
              <w:szCs w:val="18"/>
            </w:rPr>
            <w:t>56</w:t>
          </w:r>
          <w:r w:rsidRPr="00547751">
            <w:rPr>
              <w:rFonts w:cs="Arial"/>
              <w:sz w:val="20"/>
              <w:szCs w:val="18"/>
            </w:rPr>
            <w:fldChar w:fldCharType="end"/>
          </w:r>
        </w:p>
      </w:tc>
      <w:tc>
        <w:tcPr>
          <w:tcW w:w="3422" w:type="dxa"/>
        </w:tcPr>
        <w:p w14:paraId="3C4910E6" w14:textId="77777777" w:rsidR="001E1761" w:rsidRPr="00547751" w:rsidRDefault="001E1761" w:rsidP="00531E60">
          <w:pPr>
            <w:pStyle w:val="Footer"/>
            <w:jc w:val="right"/>
            <w:rPr>
              <w:rFonts w:cs="Arial"/>
              <w:sz w:val="20"/>
              <w:szCs w:val="18"/>
            </w:rPr>
          </w:pPr>
          <w:r>
            <w:rPr>
              <w:sz w:val="20"/>
            </w:rPr>
            <w:t>Luma Project</w:t>
          </w:r>
        </w:p>
      </w:tc>
    </w:tr>
  </w:tbl>
  <w:p w14:paraId="370736CC" w14:textId="77777777" w:rsidR="001E1761" w:rsidRPr="0003552C" w:rsidRDefault="001E1761" w:rsidP="00EF2F86">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9248" w14:textId="77777777" w:rsidR="001E1761" w:rsidRDefault="001E1761"/>
  <w:tbl>
    <w:tblPr>
      <w:tblW w:w="9360" w:type="dxa"/>
      <w:tblCellSpacing w:w="20" w:type="dxa"/>
      <w:tblBorders>
        <w:top w:val="single" w:sz="8" w:space="0" w:color="002776"/>
      </w:tblBorders>
      <w:tblLayout w:type="fixed"/>
      <w:tblCellMar>
        <w:top w:w="14" w:type="dxa"/>
        <w:left w:w="115" w:type="dxa"/>
        <w:right w:w="115" w:type="dxa"/>
      </w:tblCellMar>
      <w:tblLook w:val="0000" w:firstRow="0" w:lastRow="0" w:firstColumn="0" w:lastColumn="0" w:noHBand="0" w:noVBand="0"/>
    </w:tblPr>
    <w:tblGrid>
      <w:gridCol w:w="3768"/>
      <w:gridCol w:w="2200"/>
      <w:gridCol w:w="3392"/>
    </w:tblGrid>
    <w:tr w:rsidR="001E1761" w:rsidRPr="00547751" w14:paraId="0266BEE0" w14:textId="77777777" w:rsidTr="00854130">
      <w:trPr>
        <w:tblCellSpacing w:w="20" w:type="dxa"/>
      </w:trPr>
      <w:tc>
        <w:tcPr>
          <w:tcW w:w="3708" w:type="dxa"/>
        </w:tcPr>
        <w:p w14:paraId="1429B5DE" w14:textId="77777777" w:rsidR="001E1761" w:rsidRPr="001D676B" w:rsidRDefault="001E1761" w:rsidP="00200040">
          <w:pPr>
            <w:pStyle w:val="Footer"/>
            <w:rPr>
              <w:rFonts w:cs="Arial"/>
              <w:sz w:val="20"/>
              <w:szCs w:val="18"/>
            </w:rPr>
          </w:pPr>
          <w:r>
            <w:rPr>
              <w:rFonts w:cs="Arial"/>
              <w:sz w:val="20"/>
              <w:szCs w:val="18"/>
            </w:rPr>
            <w:t>DEL – 020</w:t>
          </w:r>
        </w:p>
      </w:tc>
      <w:tc>
        <w:tcPr>
          <w:tcW w:w="2160" w:type="dxa"/>
        </w:tcPr>
        <w:p w14:paraId="1F32B3BB" w14:textId="77777777" w:rsidR="001E1761" w:rsidRPr="00547751" w:rsidRDefault="001E1761" w:rsidP="00200040">
          <w:pPr>
            <w:pStyle w:val="Footer"/>
            <w:spacing w:after="100" w:afterAutospacing="1"/>
            <w:jc w:val="center"/>
            <w:rPr>
              <w:rFonts w:cs="Arial"/>
              <w:sz w:val="20"/>
              <w:szCs w:val="18"/>
            </w:rPr>
          </w:pPr>
          <w:r w:rsidRPr="00547751">
            <w:rPr>
              <w:rFonts w:cs="Arial"/>
              <w:sz w:val="20"/>
              <w:szCs w:val="18"/>
            </w:rPr>
            <w:t xml:space="preserve">Page </w:t>
          </w:r>
          <w:r w:rsidRPr="00547751">
            <w:rPr>
              <w:rFonts w:cs="Arial"/>
              <w:sz w:val="20"/>
              <w:szCs w:val="18"/>
            </w:rPr>
            <w:fldChar w:fldCharType="begin"/>
          </w:r>
          <w:r w:rsidRPr="00547751">
            <w:rPr>
              <w:rFonts w:cs="Arial"/>
              <w:sz w:val="20"/>
              <w:szCs w:val="18"/>
            </w:rPr>
            <w:instrText xml:space="preserve"> PAGE </w:instrText>
          </w:r>
          <w:r w:rsidRPr="00547751">
            <w:rPr>
              <w:rFonts w:cs="Arial"/>
              <w:sz w:val="20"/>
              <w:szCs w:val="18"/>
            </w:rPr>
            <w:fldChar w:fldCharType="separate"/>
          </w:r>
          <w:r>
            <w:rPr>
              <w:rFonts w:cs="Arial"/>
              <w:noProof/>
              <w:sz w:val="20"/>
              <w:szCs w:val="18"/>
            </w:rPr>
            <w:t>21</w:t>
          </w:r>
          <w:r w:rsidRPr="00547751">
            <w:rPr>
              <w:rFonts w:cs="Arial"/>
              <w:sz w:val="20"/>
              <w:szCs w:val="18"/>
            </w:rPr>
            <w:fldChar w:fldCharType="end"/>
          </w:r>
          <w:r w:rsidRPr="00547751">
            <w:rPr>
              <w:rFonts w:cs="Arial"/>
              <w:sz w:val="20"/>
              <w:szCs w:val="18"/>
            </w:rPr>
            <w:t xml:space="preserve"> of </w:t>
          </w:r>
          <w:r w:rsidRPr="00547751">
            <w:rPr>
              <w:rFonts w:cs="Arial"/>
              <w:sz w:val="20"/>
              <w:szCs w:val="18"/>
            </w:rPr>
            <w:fldChar w:fldCharType="begin"/>
          </w:r>
          <w:r w:rsidRPr="00547751">
            <w:rPr>
              <w:rFonts w:cs="Arial"/>
              <w:sz w:val="20"/>
              <w:szCs w:val="18"/>
            </w:rPr>
            <w:instrText xml:space="preserve"> NUMPAGES </w:instrText>
          </w:r>
          <w:r w:rsidRPr="00547751">
            <w:rPr>
              <w:rFonts w:cs="Arial"/>
              <w:sz w:val="20"/>
              <w:szCs w:val="18"/>
            </w:rPr>
            <w:fldChar w:fldCharType="separate"/>
          </w:r>
          <w:r>
            <w:rPr>
              <w:rFonts w:cs="Arial"/>
              <w:noProof/>
              <w:sz w:val="20"/>
              <w:szCs w:val="18"/>
            </w:rPr>
            <w:t>56</w:t>
          </w:r>
          <w:r w:rsidRPr="00547751">
            <w:rPr>
              <w:rFonts w:cs="Arial"/>
              <w:sz w:val="20"/>
              <w:szCs w:val="18"/>
            </w:rPr>
            <w:fldChar w:fldCharType="end"/>
          </w:r>
        </w:p>
      </w:tc>
      <w:tc>
        <w:tcPr>
          <w:tcW w:w="3332" w:type="dxa"/>
        </w:tcPr>
        <w:p w14:paraId="7725DB9B" w14:textId="77777777" w:rsidR="001E1761" w:rsidRPr="00547751" w:rsidRDefault="001E1761" w:rsidP="00854130">
          <w:pPr>
            <w:pStyle w:val="Footer"/>
            <w:ind w:right="-67"/>
            <w:jc w:val="right"/>
            <w:rPr>
              <w:rFonts w:cs="Arial"/>
              <w:sz w:val="20"/>
              <w:szCs w:val="18"/>
            </w:rPr>
          </w:pPr>
          <w:r>
            <w:rPr>
              <w:sz w:val="20"/>
            </w:rPr>
            <w:t>Luma Project</w:t>
          </w:r>
        </w:p>
      </w:tc>
    </w:tr>
  </w:tbl>
  <w:p w14:paraId="3AB54AB4" w14:textId="77777777" w:rsidR="001E1761" w:rsidRPr="00547751" w:rsidRDefault="001E1761" w:rsidP="00F8558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1777" w14:textId="77777777" w:rsidR="00DF6F07" w:rsidRDefault="00DF6F07">
      <w:r>
        <w:separator/>
      </w:r>
    </w:p>
    <w:p w14:paraId="46F30C78" w14:textId="77777777" w:rsidR="00DF6F07" w:rsidRDefault="00DF6F07"/>
    <w:p w14:paraId="75322212" w14:textId="77777777" w:rsidR="00DF6F07" w:rsidRDefault="00DF6F07"/>
  </w:footnote>
  <w:footnote w:type="continuationSeparator" w:id="0">
    <w:p w14:paraId="272A8484" w14:textId="77777777" w:rsidR="00DF6F07" w:rsidRDefault="00DF6F07">
      <w:r>
        <w:continuationSeparator/>
      </w:r>
    </w:p>
    <w:p w14:paraId="252A9113" w14:textId="77777777" w:rsidR="00DF6F07" w:rsidRDefault="00DF6F07"/>
    <w:p w14:paraId="6D0C4690" w14:textId="77777777" w:rsidR="00DF6F07" w:rsidRDefault="00DF6F07"/>
  </w:footnote>
  <w:footnote w:type="continuationNotice" w:id="1">
    <w:p w14:paraId="7F9203F0" w14:textId="77777777" w:rsidR="00DF6F07" w:rsidRDefault="00DF6F07"/>
  </w:footnote>
  <w:footnote w:id="2">
    <w:p w14:paraId="4526A123" w14:textId="493A37E7" w:rsidR="001E1761" w:rsidRDefault="001E1761">
      <w:pPr>
        <w:pStyle w:val="FootnoteText"/>
      </w:pPr>
      <w:r>
        <w:rPr>
          <w:rStyle w:val="FootnoteReference"/>
        </w:rPr>
        <w:footnoteRef/>
      </w:r>
      <w:r>
        <w:t xml:space="preserve"> Appropriation alternate hierarchy: </w:t>
      </w:r>
      <w:r w:rsidRPr="00FF432C">
        <w:rPr>
          <w:b/>
          <w:bCs/>
        </w:rPr>
        <w:t>Agency</w:t>
      </w:r>
      <w:r>
        <w:t xml:space="preserve">. A grouping of appropriations created for allocations, reporting and structure relations. </w:t>
      </w:r>
    </w:p>
  </w:footnote>
  <w:footnote w:id="3">
    <w:p w14:paraId="68718A07" w14:textId="70495BCE" w:rsidR="001E1761" w:rsidRPr="00B8006A" w:rsidRDefault="001E1761">
      <w:pPr>
        <w:pStyle w:val="FootnoteText"/>
      </w:pPr>
      <w:r>
        <w:rPr>
          <w:rStyle w:val="FootnoteReference"/>
        </w:rPr>
        <w:footnoteRef/>
      </w:r>
      <w:r>
        <w:t xml:space="preserve"> Alternate hierarchies created: </w:t>
      </w:r>
      <w:r>
        <w:rPr>
          <w:b/>
          <w:bCs/>
        </w:rPr>
        <w:t xml:space="preserve">Budget </w:t>
      </w:r>
      <w:r>
        <w:t xml:space="preserve">– to facilitate budget entry, control, and review, and LSO reporting; </w:t>
      </w:r>
      <w:r w:rsidRPr="00FF432C">
        <w:rPr>
          <w:b/>
          <w:bCs/>
        </w:rPr>
        <w:t>CAFR</w:t>
      </w:r>
      <w:r>
        <w:t xml:space="preserve"> – for CAFR reporting; and </w:t>
      </w:r>
      <w:r>
        <w:rPr>
          <w:b/>
          <w:bCs/>
        </w:rPr>
        <w:t xml:space="preserve">Flat </w:t>
      </w:r>
      <w:r>
        <w:t>– posting levels only.</w:t>
      </w:r>
    </w:p>
  </w:footnote>
  <w:footnote w:id="4">
    <w:p w14:paraId="5E523B5D" w14:textId="6B018E0F" w:rsidR="001E1761" w:rsidRDefault="001E1761">
      <w:pPr>
        <w:pStyle w:val="FootnoteText"/>
      </w:pPr>
      <w:r>
        <w:rPr>
          <w:rStyle w:val="FootnoteReference"/>
        </w:rPr>
        <w:footnoteRef/>
      </w:r>
      <w:r>
        <w:t xml:space="preserve"> The summary level </w:t>
      </w:r>
      <w:r w:rsidRPr="00CA1E93">
        <w:rPr>
          <w:b/>
          <w:bCs/>
        </w:rPr>
        <w:t>Account Type</w:t>
      </w:r>
      <w:r>
        <w:t xml:space="preserve"> is the Chart hierarchy display.  Within Luma there is also  a system-defined “account type”.  The Account Type in the chart was built to reflect GASB definitions.</w:t>
      </w:r>
    </w:p>
  </w:footnote>
  <w:footnote w:id="5">
    <w:p w14:paraId="403589CC" w14:textId="496C1598" w:rsidR="001E1761" w:rsidRDefault="001E1761">
      <w:pPr>
        <w:pStyle w:val="FootnoteText"/>
      </w:pPr>
      <w:r>
        <w:rPr>
          <w:rStyle w:val="FootnoteReference"/>
        </w:rPr>
        <w:footnoteRef/>
      </w:r>
      <w:r>
        <w:t xml:space="preserve"> In order to accommodate budget spending plans at various levels of the Chart, users will see posting ‘BUDGET USE ONLY’ accounts throughout the expenditure account hierarchy.  These budget accounts do not follow the same format rules established in this subsection 3.7 in order to set them apart from transactional accounts.</w:t>
      </w:r>
    </w:p>
  </w:footnote>
  <w:footnote w:id="6">
    <w:p w14:paraId="6DA2F6DF" w14:textId="67B8DDAE" w:rsidR="001E1761" w:rsidRDefault="001E1761">
      <w:pPr>
        <w:pStyle w:val="FootnoteText"/>
      </w:pPr>
      <w:r>
        <w:rPr>
          <w:rStyle w:val="FootnoteReference"/>
        </w:rPr>
        <w:footnoteRef/>
      </w:r>
      <w:r>
        <w:t xml:space="preserve"> ‘BUDGET USE ONLY’ accounts are two and three-digit codes depending on the level within the Chart hierarchy. </w:t>
      </w:r>
    </w:p>
  </w:footnote>
  <w:footnote w:id="7">
    <w:p w14:paraId="73289475" w14:textId="35B3D38E" w:rsidR="001E1761" w:rsidRDefault="001E1761" w:rsidP="00184C9F">
      <w:pPr>
        <w:pStyle w:val="FootnoteText"/>
      </w:pPr>
      <w:r>
        <w:rPr>
          <w:rStyle w:val="FootnoteReference"/>
        </w:rPr>
        <w:footnoteRef/>
      </w:r>
      <w:r>
        <w:t xml:space="preserve"> As of December 2020, final structure of the Trust Account dimension was still under development and may deviate from what is contained in this subsection 3.11.  This is the best estimation of what the structure and format of this dimension will look like when the version of the document is released statewide  to socialize the most recent changes to the Chart of Accounts.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7092"/>
    </w:tblGrid>
    <w:tr w:rsidR="001E1761" w:rsidRPr="0084165C" w14:paraId="5A479BB0" w14:textId="77777777" w:rsidTr="0001505F">
      <w:tc>
        <w:tcPr>
          <w:tcW w:w="2268" w:type="dxa"/>
        </w:tcPr>
        <w:p w14:paraId="0F9AE63B" w14:textId="77777777" w:rsidR="001E1761" w:rsidRPr="00E03656" w:rsidRDefault="001E1761" w:rsidP="00A7101C">
          <w:pPr>
            <w:spacing w:after="60"/>
            <w:rPr>
              <w:rFonts w:cs="Arial"/>
              <w:b/>
              <w:bCs/>
              <w:sz w:val="28"/>
              <w:szCs w:val="28"/>
            </w:rPr>
          </w:pPr>
          <w:r>
            <w:rPr>
              <w:noProof/>
            </w:rPr>
            <w:drawing>
              <wp:inline distT="0" distB="0" distL="0" distR="0" wp14:anchorId="04B9D9C1" wp14:editId="68E36E5E">
                <wp:extent cx="1234440" cy="351790"/>
                <wp:effectExtent l="0" t="0" r="3810" b="0"/>
                <wp:docPr id="1" name="Picture 1"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092" w:type="dxa"/>
        </w:tcPr>
        <w:p w14:paraId="447F14A3" w14:textId="3C8CCAA4" w:rsidR="001E1761" w:rsidRPr="00E860E8" w:rsidRDefault="001E1761" w:rsidP="00A7101C">
          <w:pPr>
            <w:pStyle w:val="Header"/>
            <w:jc w:val="right"/>
            <w:rPr>
              <w:rFonts w:ascii="Arial" w:hAnsi="Arial" w:cs="Arial"/>
              <w:b w:val="0"/>
            </w:rPr>
          </w:pPr>
          <w:r>
            <w:rPr>
              <w:rFonts w:ascii="Arial" w:hAnsi="Arial" w:cs="Arial"/>
              <w:b w:val="0"/>
            </w:rPr>
            <w:t>Chart of Accounts Design</w:t>
          </w:r>
        </w:p>
      </w:tc>
    </w:tr>
  </w:tbl>
  <w:p w14:paraId="082C8D0D" w14:textId="77777777" w:rsidR="001E1761" w:rsidRDefault="00DF6F07" w:rsidP="00F04864">
    <w:pPr>
      <w:tabs>
        <w:tab w:val="left" w:pos="7230"/>
      </w:tabs>
    </w:pPr>
    <w:r>
      <w:pict w14:anchorId="780E0142">
        <v:rect id="_x0000_i1025" style="width:540pt;height:1pt" o:hralign="center" o:hrstd="t" o:hrnoshade="t" o:hr="t" fillcolor="#002776"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Layout w:type="fixed"/>
      <w:tblLook w:val="0000" w:firstRow="0" w:lastRow="0" w:firstColumn="0" w:lastColumn="0" w:noHBand="0" w:noVBand="0"/>
    </w:tblPr>
    <w:tblGrid>
      <w:gridCol w:w="3528"/>
      <w:gridCol w:w="5922"/>
      <w:gridCol w:w="2160"/>
    </w:tblGrid>
    <w:tr w:rsidR="001E1761" w:rsidRPr="0084165C" w14:paraId="54063852" w14:textId="77777777" w:rsidTr="00F53975">
      <w:tc>
        <w:tcPr>
          <w:tcW w:w="3528" w:type="dxa"/>
        </w:tcPr>
        <w:p w14:paraId="1B368D91" w14:textId="77777777" w:rsidR="001E1761" w:rsidRPr="00E03656" w:rsidRDefault="001E1761" w:rsidP="00B96933">
          <w:pPr>
            <w:rPr>
              <w:rFonts w:cs="Arial"/>
              <w:b/>
              <w:bCs/>
              <w:sz w:val="28"/>
              <w:szCs w:val="28"/>
            </w:rPr>
          </w:pPr>
        </w:p>
      </w:tc>
      <w:tc>
        <w:tcPr>
          <w:tcW w:w="5922" w:type="dxa"/>
        </w:tcPr>
        <w:p w14:paraId="16E1C0A1" w14:textId="77777777" w:rsidR="001E1761" w:rsidRPr="00BF6C7A" w:rsidRDefault="001E1761" w:rsidP="00F53975">
          <w:pPr>
            <w:pStyle w:val="Header"/>
            <w:tabs>
              <w:tab w:val="clear" w:pos="4680"/>
              <w:tab w:val="center" w:pos="4834"/>
            </w:tabs>
            <w:jc w:val="right"/>
            <w:rPr>
              <w:rFonts w:cs="Arial"/>
              <w:b w:val="0"/>
              <w:bCs/>
              <w:smallCaps/>
              <w14:shadow w14:blurRad="50800" w14:dist="38100" w14:dir="2700000" w14:sx="100000" w14:sy="100000" w14:kx="0" w14:ky="0" w14:algn="tl">
                <w14:srgbClr w14:val="000000">
                  <w14:alpha w14:val="60000"/>
                </w14:srgbClr>
              </w14:shadow>
            </w:rPr>
          </w:pPr>
        </w:p>
      </w:tc>
      <w:tc>
        <w:tcPr>
          <w:tcW w:w="2160" w:type="dxa"/>
        </w:tcPr>
        <w:p w14:paraId="6DA7A8DE" w14:textId="77777777" w:rsidR="001E1761" w:rsidRPr="0049677E" w:rsidRDefault="001E1761" w:rsidP="00F53975">
          <w:pPr>
            <w:pStyle w:val="Header"/>
            <w:ind w:right="1120"/>
            <w:jc w:val="left"/>
            <w:rPr>
              <w:b w:val="0"/>
            </w:rPr>
          </w:pPr>
        </w:p>
      </w:tc>
    </w:tr>
  </w:tbl>
  <w:p w14:paraId="0DAB7C61" w14:textId="77777777" w:rsidR="001E1761" w:rsidRDefault="001E1761" w:rsidP="00716241">
    <w:pPr>
      <w:tabs>
        <w:tab w:val="right" w:pos="9360"/>
      </w:tabs>
      <w:ind w:right="-274"/>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1E1761" w:rsidRPr="0084165C" w14:paraId="2696ABAF" w14:textId="77777777" w:rsidTr="0001505F">
      <w:tc>
        <w:tcPr>
          <w:tcW w:w="2268" w:type="dxa"/>
        </w:tcPr>
        <w:p w14:paraId="7482471E" w14:textId="77777777" w:rsidR="001E1761" w:rsidRPr="00E03656" w:rsidRDefault="001E1761" w:rsidP="00A7101C">
          <w:pPr>
            <w:spacing w:after="60"/>
            <w:rPr>
              <w:rFonts w:cs="Arial"/>
              <w:b/>
              <w:bCs/>
              <w:sz w:val="28"/>
              <w:szCs w:val="28"/>
            </w:rPr>
          </w:pPr>
          <w:r>
            <w:rPr>
              <w:noProof/>
            </w:rPr>
            <w:drawing>
              <wp:inline distT="0" distB="0" distL="0" distR="0" wp14:anchorId="4C533D82" wp14:editId="306B79DF">
                <wp:extent cx="1234440" cy="351790"/>
                <wp:effectExtent l="0" t="0" r="3810" b="0"/>
                <wp:docPr id="3" name="Picture 3"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14:paraId="44EF2CCE" w14:textId="16AAF75D" w:rsidR="001E1761" w:rsidRPr="0001505F" w:rsidRDefault="001E1761" w:rsidP="00A7101C">
          <w:pPr>
            <w:pStyle w:val="Header"/>
            <w:jc w:val="right"/>
            <w:rPr>
              <w:rFonts w:ascii="Arial" w:hAnsi="Arial" w:cs="Arial"/>
              <w:b w:val="0"/>
            </w:rPr>
          </w:pPr>
          <w:r>
            <w:rPr>
              <w:rFonts w:ascii="Arial" w:hAnsi="Arial" w:cs="Arial"/>
              <w:b w:val="0"/>
            </w:rPr>
            <w:t>Chart of Accounts Design</w:t>
          </w:r>
        </w:p>
      </w:tc>
    </w:tr>
  </w:tbl>
  <w:p w14:paraId="7D453209" w14:textId="77777777" w:rsidR="001E1761" w:rsidRDefault="00DF6F07" w:rsidP="005960C4">
    <w:pPr>
      <w:tabs>
        <w:tab w:val="left" w:pos="7230"/>
      </w:tabs>
      <w:jc w:val="right"/>
    </w:pPr>
    <w:r>
      <w:pict w14:anchorId="262F2B17">
        <v:rect id="_x0000_i1026" style="width:540pt;height:1pt" o:hralign="center" o:hrstd="t" o:hrnoshade="t" o:hr="t" fillcolor="#00277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C9CC" w14:textId="77777777" w:rsidR="001E1761" w:rsidRDefault="001E17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1E1761" w:rsidRPr="0001505F" w14:paraId="07BC5F9D" w14:textId="77777777" w:rsidTr="0077286C">
      <w:tc>
        <w:tcPr>
          <w:tcW w:w="2268" w:type="dxa"/>
        </w:tcPr>
        <w:p w14:paraId="78E205D0" w14:textId="77777777" w:rsidR="001E1761" w:rsidRPr="00E03656" w:rsidRDefault="001E1761" w:rsidP="00AF3557">
          <w:pPr>
            <w:spacing w:after="60"/>
            <w:rPr>
              <w:rFonts w:cs="Arial"/>
              <w:b/>
              <w:bCs/>
              <w:sz w:val="28"/>
              <w:szCs w:val="28"/>
            </w:rPr>
          </w:pPr>
          <w:r>
            <w:rPr>
              <w:noProof/>
            </w:rPr>
            <w:drawing>
              <wp:inline distT="0" distB="0" distL="0" distR="0" wp14:anchorId="7A94EB57" wp14:editId="3E156E94">
                <wp:extent cx="1234440" cy="351790"/>
                <wp:effectExtent l="0" t="0" r="3810" b="0"/>
                <wp:docPr id="16" name="Picture 16"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14:paraId="1205E8B0" w14:textId="6944EF5C" w:rsidR="001E1761" w:rsidRPr="0001505F" w:rsidRDefault="001E1761" w:rsidP="00AF3557">
          <w:pPr>
            <w:pStyle w:val="Header"/>
            <w:jc w:val="right"/>
            <w:rPr>
              <w:rFonts w:ascii="Arial" w:hAnsi="Arial" w:cs="Arial"/>
              <w:b w:val="0"/>
            </w:rPr>
          </w:pPr>
          <w:r>
            <w:rPr>
              <w:rFonts w:ascii="Arial" w:hAnsi="Arial" w:cs="Arial"/>
              <w:b w:val="0"/>
            </w:rPr>
            <w:t>Chart of Accounts Design</w:t>
          </w:r>
        </w:p>
      </w:tc>
    </w:tr>
  </w:tbl>
  <w:p w14:paraId="60ACBBF0" w14:textId="77777777" w:rsidR="001E1761" w:rsidRDefault="001E1761" w:rsidP="0077286C">
    <w:pPr>
      <w:pStyle w:val="Footer"/>
      <w:pBdr>
        <w:top w:val="single" w:sz="8" w:space="0" w:color="auto"/>
      </w:pBdr>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A20F" w14:textId="77777777" w:rsidR="001E1761" w:rsidRDefault="001E17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ayout w:type="fixed"/>
      <w:tblLook w:val="0000" w:firstRow="0" w:lastRow="0" w:firstColumn="0" w:lastColumn="0" w:noHBand="0" w:noVBand="0"/>
    </w:tblPr>
    <w:tblGrid>
      <w:gridCol w:w="2268"/>
      <w:gridCol w:w="7182"/>
    </w:tblGrid>
    <w:tr w:rsidR="001E1761" w:rsidRPr="0084165C" w14:paraId="5D50B6FE" w14:textId="77777777" w:rsidTr="0001505F">
      <w:tc>
        <w:tcPr>
          <w:tcW w:w="2268" w:type="dxa"/>
        </w:tcPr>
        <w:p w14:paraId="6EF2116F" w14:textId="77777777" w:rsidR="001E1761" w:rsidRPr="00E03656" w:rsidRDefault="001E1761" w:rsidP="00A7101C">
          <w:pPr>
            <w:spacing w:after="60"/>
            <w:rPr>
              <w:rFonts w:cs="Arial"/>
              <w:b/>
              <w:bCs/>
              <w:sz w:val="28"/>
              <w:szCs w:val="28"/>
            </w:rPr>
          </w:pPr>
          <w:r>
            <w:rPr>
              <w:noProof/>
            </w:rPr>
            <w:drawing>
              <wp:inline distT="0" distB="0" distL="0" distR="0" wp14:anchorId="573FF4E9" wp14:editId="4BA383FB">
                <wp:extent cx="1234440" cy="351790"/>
                <wp:effectExtent l="0" t="0" r="3810" b="0"/>
                <wp:docPr id="8" name="Picture 8" descr="cid:image003.png@01D58F48.A32E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F48.A32EA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4440" cy="351790"/>
                        </a:xfrm>
                        <a:prstGeom prst="rect">
                          <a:avLst/>
                        </a:prstGeom>
                        <a:noFill/>
                        <a:ln>
                          <a:noFill/>
                        </a:ln>
                      </pic:spPr>
                    </pic:pic>
                  </a:graphicData>
                </a:graphic>
              </wp:inline>
            </w:drawing>
          </w:r>
        </w:p>
      </w:tc>
      <w:tc>
        <w:tcPr>
          <w:tcW w:w="7182" w:type="dxa"/>
        </w:tcPr>
        <w:p w14:paraId="5793D49F" w14:textId="77777777" w:rsidR="001E1761" w:rsidRPr="0001505F" w:rsidRDefault="001E1761" w:rsidP="00A7101C">
          <w:pPr>
            <w:pStyle w:val="Header"/>
            <w:jc w:val="right"/>
            <w:rPr>
              <w:rFonts w:ascii="Arial" w:hAnsi="Arial" w:cs="Arial"/>
              <w:b w:val="0"/>
            </w:rPr>
          </w:pPr>
          <w:r w:rsidRPr="0001505F">
            <w:rPr>
              <w:rFonts w:ascii="Arial" w:hAnsi="Arial" w:cs="Arial"/>
              <w:b w:val="0"/>
            </w:rPr>
            <w:t xml:space="preserve">Deliverable No. </w:t>
          </w:r>
          <w:r>
            <w:rPr>
              <w:rFonts w:ascii="Arial" w:hAnsi="Arial" w:cs="Arial"/>
              <w:b w:val="0"/>
            </w:rPr>
            <w:t>20 – Chart of Accounts Design</w:t>
          </w:r>
        </w:p>
      </w:tc>
    </w:tr>
  </w:tbl>
  <w:p w14:paraId="7C89294D" w14:textId="77777777" w:rsidR="001E1761" w:rsidRDefault="00DF6F07" w:rsidP="00D93098">
    <w:pPr>
      <w:tabs>
        <w:tab w:val="left" w:pos="7230"/>
      </w:tabs>
    </w:pPr>
    <w:r>
      <w:pict w14:anchorId="5B0B1F41">
        <v:rect id="_x0000_i1027" style="width:540pt;height:1pt" o:hralign="center" o:hrstd="t" o:hrnoshade="t" o:hr="t" fillcolor="#00277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188D5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15:restartNumberingAfterBreak="0">
    <w:nsid w:val="FFFFFF89"/>
    <w:multiLevelType w:val="singleLevel"/>
    <w:tmpl w:val="DC0A0940"/>
    <w:lvl w:ilvl="0">
      <w:start w:val="1"/>
      <w:numFmt w:val="bullet"/>
      <w:pStyle w:val="Bullet1Last"/>
      <w:lvlText w:val=""/>
      <w:lvlJc w:val="left"/>
      <w:pPr>
        <w:tabs>
          <w:tab w:val="num" w:pos="360"/>
        </w:tabs>
        <w:ind w:left="360" w:hanging="360"/>
      </w:pPr>
      <w:rPr>
        <w:rFonts w:ascii="Symbol" w:hAnsi="Symbol" w:hint="default"/>
      </w:rPr>
    </w:lvl>
  </w:abstractNum>
  <w:abstractNum w:abstractNumId="9" w15:restartNumberingAfterBreak="0">
    <w:nsid w:val="033830E2"/>
    <w:multiLevelType w:val="hybridMultilevel"/>
    <w:tmpl w:val="7C847ACA"/>
    <w:lvl w:ilvl="0" w:tplc="F5C08A5A">
      <w:start w:val="1"/>
      <w:numFmt w:val="bullet"/>
      <w:pStyle w:val="Bullet2"/>
      <w:lvlText w:val="o"/>
      <w:lvlJc w:val="left"/>
      <w:pPr>
        <w:ind w:left="1080" w:hanging="360"/>
      </w:pPr>
      <w:rPr>
        <w:rFonts w:ascii="Courier New" w:hAnsi="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5876C5"/>
    <w:multiLevelType w:val="hybridMultilevel"/>
    <w:tmpl w:val="7E3A00E6"/>
    <w:lvl w:ilvl="0" w:tplc="84309E46">
      <w:numFmt w:val="bullet"/>
      <w:lvlText w:val="•"/>
      <w:lvlJc w:val="left"/>
      <w:pPr>
        <w:ind w:left="720" w:hanging="72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0A16D4"/>
    <w:multiLevelType w:val="multilevel"/>
    <w:tmpl w:val="02364D62"/>
    <w:numStyleLink w:val="List1"/>
  </w:abstractNum>
  <w:abstractNum w:abstractNumId="12" w15:restartNumberingAfterBreak="0">
    <w:nsid w:val="0CEB4613"/>
    <w:multiLevelType w:val="hybridMultilevel"/>
    <w:tmpl w:val="17BA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D5C12"/>
    <w:multiLevelType w:val="hybridMultilevel"/>
    <w:tmpl w:val="ABE4D648"/>
    <w:lvl w:ilvl="0" w:tplc="04090001">
      <w:start w:val="1"/>
      <w:numFmt w:val="bullet"/>
      <w:lvlText w:val=""/>
      <w:lvlJc w:val="left"/>
      <w:pPr>
        <w:ind w:left="1135" w:hanging="360"/>
      </w:pPr>
      <w:rPr>
        <w:rFonts w:ascii="Symbol" w:hAnsi="Symbol" w:hint="default"/>
      </w:rPr>
    </w:lvl>
    <w:lvl w:ilvl="1" w:tplc="2480A970">
      <w:start w:val="1"/>
      <w:numFmt w:val="bullet"/>
      <w:lvlText w:val="o"/>
      <w:lvlJc w:val="left"/>
      <w:pPr>
        <w:ind w:left="1855" w:hanging="360"/>
      </w:pPr>
      <w:rPr>
        <w:rFonts w:ascii="Courier New" w:hAnsi="Courier New" w:cs="Courier New" w:hint="default"/>
        <w:color w:val="auto"/>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4"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5E1E40"/>
    <w:multiLevelType w:val="hybridMultilevel"/>
    <w:tmpl w:val="84204260"/>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7" w15:restartNumberingAfterBreak="0">
    <w:nsid w:val="1AA97259"/>
    <w:multiLevelType w:val="multilevel"/>
    <w:tmpl w:val="AD6C77A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01061C"/>
    <w:multiLevelType w:val="hybridMultilevel"/>
    <w:tmpl w:val="8EAE0BF0"/>
    <w:lvl w:ilvl="0" w:tplc="AB1CF2EE">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F6379E"/>
    <w:multiLevelType w:val="hybridMultilevel"/>
    <w:tmpl w:val="5C6C0D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2DF2525F"/>
    <w:multiLevelType w:val="multilevel"/>
    <w:tmpl w:val="008C5ADE"/>
    <w:numStyleLink w:val="Style3"/>
  </w:abstractNum>
  <w:abstractNum w:abstractNumId="23" w15:restartNumberingAfterBreak="0">
    <w:nsid w:val="34055698"/>
    <w:multiLevelType w:val="hybridMultilevel"/>
    <w:tmpl w:val="C0423E7E"/>
    <w:lvl w:ilvl="0" w:tplc="F806B710">
      <w:start w:val="1"/>
      <w:numFmt w:val="bullet"/>
      <w:pStyle w:val="DBulletlevel1"/>
      <w:lvlText w:val=""/>
      <w:lvlJc w:val="left"/>
      <w:pPr>
        <w:ind w:left="360"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C2F97"/>
    <w:multiLevelType w:val="hybridMultilevel"/>
    <w:tmpl w:val="1472D3DE"/>
    <w:lvl w:ilvl="0" w:tplc="CF488D8C">
      <w:start w:val="1"/>
      <w:numFmt w:val="lowerLetter"/>
      <w:pStyle w:val="List2"/>
      <w:lvlText w:val="%1."/>
      <w:lvlJc w:val="left"/>
      <w:pPr>
        <w:ind w:left="720" w:hanging="360"/>
      </w:pPr>
    </w:lvl>
    <w:lvl w:ilvl="1" w:tplc="C420AD7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7B6F34"/>
    <w:multiLevelType w:val="hybridMultilevel"/>
    <w:tmpl w:val="EBFA924E"/>
    <w:lvl w:ilvl="0" w:tplc="04090001">
      <w:start w:val="1"/>
      <w:numFmt w:val="bullet"/>
      <w:lvlText w:val=""/>
      <w:lvlJc w:val="left"/>
      <w:pPr>
        <w:ind w:left="3807" w:hanging="360"/>
      </w:pPr>
      <w:rPr>
        <w:rFonts w:ascii="Symbol" w:hAnsi="Symbol" w:hint="default"/>
      </w:rPr>
    </w:lvl>
    <w:lvl w:ilvl="1" w:tplc="04090003" w:tentative="1">
      <w:start w:val="1"/>
      <w:numFmt w:val="bullet"/>
      <w:lvlText w:val="o"/>
      <w:lvlJc w:val="left"/>
      <w:pPr>
        <w:ind w:left="4527" w:hanging="360"/>
      </w:pPr>
      <w:rPr>
        <w:rFonts w:ascii="Courier New" w:hAnsi="Courier New" w:cs="Courier New" w:hint="default"/>
      </w:rPr>
    </w:lvl>
    <w:lvl w:ilvl="2" w:tplc="04090005" w:tentative="1">
      <w:start w:val="1"/>
      <w:numFmt w:val="bullet"/>
      <w:lvlText w:val=""/>
      <w:lvlJc w:val="left"/>
      <w:pPr>
        <w:ind w:left="5247" w:hanging="360"/>
      </w:pPr>
      <w:rPr>
        <w:rFonts w:ascii="Wingdings" w:hAnsi="Wingdings" w:hint="default"/>
      </w:rPr>
    </w:lvl>
    <w:lvl w:ilvl="3" w:tplc="04090001" w:tentative="1">
      <w:start w:val="1"/>
      <w:numFmt w:val="bullet"/>
      <w:lvlText w:val=""/>
      <w:lvlJc w:val="left"/>
      <w:pPr>
        <w:ind w:left="5967" w:hanging="360"/>
      </w:pPr>
      <w:rPr>
        <w:rFonts w:ascii="Symbol" w:hAnsi="Symbol" w:hint="default"/>
      </w:rPr>
    </w:lvl>
    <w:lvl w:ilvl="4" w:tplc="04090003" w:tentative="1">
      <w:start w:val="1"/>
      <w:numFmt w:val="bullet"/>
      <w:lvlText w:val="o"/>
      <w:lvlJc w:val="left"/>
      <w:pPr>
        <w:ind w:left="6687" w:hanging="360"/>
      </w:pPr>
      <w:rPr>
        <w:rFonts w:ascii="Courier New" w:hAnsi="Courier New" w:cs="Courier New" w:hint="default"/>
      </w:rPr>
    </w:lvl>
    <w:lvl w:ilvl="5" w:tplc="04090005" w:tentative="1">
      <w:start w:val="1"/>
      <w:numFmt w:val="bullet"/>
      <w:lvlText w:val=""/>
      <w:lvlJc w:val="left"/>
      <w:pPr>
        <w:ind w:left="7407" w:hanging="360"/>
      </w:pPr>
      <w:rPr>
        <w:rFonts w:ascii="Wingdings" w:hAnsi="Wingdings" w:hint="default"/>
      </w:rPr>
    </w:lvl>
    <w:lvl w:ilvl="6" w:tplc="04090001" w:tentative="1">
      <w:start w:val="1"/>
      <w:numFmt w:val="bullet"/>
      <w:lvlText w:val=""/>
      <w:lvlJc w:val="left"/>
      <w:pPr>
        <w:ind w:left="8127" w:hanging="360"/>
      </w:pPr>
      <w:rPr>
        <w:rFonts w:ascii="Symbol" w:hAnsi="Symbol" w:hint="default"/>
      </w:rPr>
    </w:lvl>
    <w:lvl w:ilvl="7" w:tplc="04090003" w:tentative="1">
      <w:start w:val="1"/>
      <w:numFmt w:val="bullet"/>
      <w:lvlText w:val="o"/>
      <w:lvlJc w:val="left"/>
      <w:pPr>
        <w:ind w:left="8847" w:hanging="360"/>
      </w:pPr>
      <w:rPr>
        <w:rFonts w:ascii="Courier New" w:hAnsi="Courier New" w:cs="Courier New" w:hint="default"/>
      </w:rPr>
    </w:lvl>
    <w:lvl w:ilvl="8" w:tplc="04090005" w:tentative="1">
      <w:start w:val="1"/>
      <w:numFmt w:val="bullet"/>
      <w:lvlText w:val=""/>
      <w:lvlJc w:val="left"/>
      <w:pPr>
        <w:ind w:left="9567" w:hanging="360"/>
      </w:pPr>
      <w:rPr>
        <w:rFonts w:ascii="Wingdings" w:hAnsi="Wingdings" w:hint="default"/>
      </w:rPr>
    </w:lvl>
  </w:abstractNum>
  <w:abstractNum w:abstractNumId="27" w15:restartNumberingAfterBreak="0">
    <w:nsid w:val="43764B5F"/>
    <w:multiLevelType w:val="hybridMultilevel"/>
    <w:tmpl w:val="62B40622"/>
    <w:lvl w:ilvl="0" w:tplc="7C9C1106">
      <w:start w:val="1"/>
      <w:numFmt w:val="bullet"/>
      <w:pStyle w:val="Tablebullet2"/>
      <w:lvlText w:val="o"/>
      <w:lvlJc w:val="left"/>
      <w:pPr>
        <w:ind w:left="1038" w:hanging="360"/>
      </w:pPr>
      <w:rPr>
        <w:rFonts w:ascii="Courier New" w:hAnsi="Courier New" w:hint="default"/>
        <w:color w:val="auto"/>
        <w:sz w:val="14"/>
      </w:rPr>
    </w:lvl>
    <w:lvl w:ilvl="1" w:tplc="6CFED3F6" w:tentative="1">
      <w:start w:val="1"/>
      <w:numFmt w:val="bullet"/>
      <w:lvlText w:val="o"/>
      <w:lvlJc w:val="left"/>
      <w:pPr>
        <w:ind w:left="1758" w:hanging="360"/>
      </w:pPr>
      <w:rPr>
        <w:rFonts w:ascii="Courier New" w:hAnsi="Courier New" w:cs="Courier New" w:hint="default"/>
      </w:rPr>
    </w:lvl>
    <w:lvl w:ilvl="2" w:tplc="242C285A" w:tentative="1">
      <w:start w:val="1"/>
      <w:numFmt w:val="bullet"/>
      <w:lvlText w:val=""/>
      <w:lvlJc w:val="left"/>
      <w:pPr>
        <w:ind w:left="2478" w:hanging="360"/>
      </w:pPr>
      <w:rPr>
        <w:rFonts w:ascii="Wingdings" w:hAnsi="Wingdings" w:hint="default"/>
      </w:rPr>
    </w:lvl>
    <w:lvl w:ilvl="3" w:tplc="496AD1EE" w:tentative="1">
      <w:start w:val="1"/>
      <w:numFmt w:val="bullet"/>
      <w:lvlText w:val=""/>
      <w:lvlJc w:val="left"/>
      <w:pPr>
        <w:ind w:left="3198" w:hanging="360"/>
      </w:pPr>
      <w:rPr>
        <w:rFonts w:ascii="Symbol" w:hAnsi="Symbol" w:hint="default"/>
      </w:rPr>
    </w:lvl>
    <w:lvl w:ilvl="4" w:tplc="51CA06FE" w:tentative="1">
      <w:start w:val="1"/>
      <w:numFmt w:val="bullet"/>
      <w:lvlText w:val="o"/>
      <w:lvlJc w:val="left"/>
      <w:pPr>
        <w:ind w:left="3918" w:hanging="360"/>
      </w:pPr>
      <w:rPr>
        <w:rFonts w:ascii="Courier New" w:hAnsi="Courier New" w:cs="Courier New" w:hint="default"/>
      </w:rPr>
    </w:lvl>
    <w:lvl w:ilvl="5" w:tplc="B41AFF76" w:tentative="1">
      <w:start w:val="1"/>
      <w:numFmt w:val="bullet"/>
      <w:lvlText w:val=""/>
      <w:lvlJc w:val="left"/>
      <w:pPr>
        <w:ind w:left="4638" w:hanging="360"/>
      </w:pPr>
      <w:rPr>
        <w:rFonts w:ascii="Wingdings" w:hAnsi="Wingdings" w:hint="default"/>
      </w:rPr>
    </w:lvl>
    <w:lvl w:ilvl="6" w:tplc="1AFEF85C" w:tentative="1">
      <w:start w:val="1"/>
      <w:numFmt w:val="bullet"/>
      <w:lvlText w:val=""/>
      <w:lvlJc w:val="left"/>
      <w:pPr>
        <w:ind w:left="5358" w:hanging="360"/>
      </w:pPr>
      <w:rPr>
        <w:rFonts w:ascii="Symbol" w:hAnsi="Symbol" w:hint="default"/>
      </w:rPr>
    </w:lvl>
    <w:lvl w:ilvl="7" w:tplc="8DDCB782" w:tentative="1">
      <w:start w:val="1"/>
      <w:numFmt w:val="bullet"/>
      <w:lvlText w:val="o"/>
      <w:lvlJc w:val="left"/>
      <w:pPr>
        <w:ind w:left="6078" w:hanging="360"/>
      </w:pPr>
      <w:rPr>
        <w:rFonts w:ascii="Courier New" w:hAnsi="Courier New" w:cs="Courier New" w:hint="default"/>
      </w:rPr>
    </w:lvl>
    <w:lvl w:ilvl="8" w:tplc="67EC2A72" w:tentative="1">
      <w:start w:val="1"/>
      <w:numFmt w:val="bullet"/>
      <w:lvlText w:val=""/>
      <w:lvlJc w:val="left"/>
      <w:pPr>
        <w:ind w:left="6798" w:hanging="360"/>
      </w:pPr>
      <w:rPr>
        <w:rFonts w:ascii="Wingdings" w:hAnsi="Wingdings" w:hint="default"/>
      </w:rPr>
    </w:lvl>
  </w:abstractNum>
  <w:abstractNum w:abstractNumId="28" w15:restartNumberingAfterBreak="0">
    <w:nsid w:val="5A413BDE"/>
    <w:multiLevelType w:val="hybridMultilevel"/>
    <w:tmpl w:val="CFE4D4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D3B5A22"/>
    <w:multiLevelType w:val="hybridMultilevel"/>
    <w:tmpl w:val="129A0AC8"/>
    <w:lvl w:ilvl="0" w:tplc="84309E46">
      <w:numFmt w:val="bullet"/>
      <w:lvlText w:val="•"/>
      <w:lvlJc w:val="left"/>
      <w:pPr>
        <w:ind w:left="1440" w:hanging="72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15:restartNumberingAfterBreak="0">
    <w:nsid w:val="6228682E"/>
    <w:multiLevelType w:val="hybridMultilevel"/>
    <w:tmpl w:val="133A1128"/>
    <w:lvl w:ilvl="0" w:tplc="A1EC86A0">
      <w:start w:val="1"/>
      <w:numFmt w:val="bullet"/>
      <w:pStyle w:val="Bullet1"/>
      <w:lvlText w:val=""/>
      <w:lvlJc w:val="left"/>
      <w:pPr>
        <w:tabs>
          <w:tab w:val="num" w:pos="720"/>
        </w:tabs>
        <w:ind w:left="720" w:hanging="360"/>
      </w:pPr>
      <w:rPr>
        <w:rFonts w:ascii="Symbol" w:hAnsi="Symbol" w:hint="default"/>
      </w:rPr>
    </w:lvl>
    <w:lvl w:ilvl="1" w:tplc="3CF8846E" w:tentative="1">
      <w:start w:val="1"/>
      <w:numFmt w:val="bullet"/>
      <w:lvlText w:val="o"/>
      <w:lvlJc w:val="left"/>
      <w:pPr>
        <w:tabs>
          <w:tab w:val="num" w:pos="1440"/>
        </w:tabs>
        <w:ind w:left="1440" w:hanging="360"/>
      </w:pPr>
      <w:rPr>
        <w:rFonts w:ascii="Courier New" w:hAnsi="Courier New" w:cs="Courier New" w:hint="default"/>
      </w:rPr>
    </w:lvl>
    <w:lvl w:ilvl="2" w:tplc="D4AEBA7A" w:tentative="1">
      <w:start w:val="1"/>
      <w:numFmt w:val="bullet"/>
      <w:lvlText w:val=""/>
      <w:lvlJc w:val="left"/>
      <w:pPr>
        <w:tabs>
          <w:tab w:val="num" w:pos="2160"/>
        </w:tabs>
        <w:ind w:left="2160" w:hanging="360"/>
      </w:pPr>
      <w:rPr>
        <w:rFonts w:ascii="Wingdings" w:hAnsi="Wingdings" w:hint="default"/>
      </w:rPr>
    </w:lvl>
    <w:lvl w:ilvl="3" w:tplc="5E8698EC" w:tentative="1">
      <w:start w:val="1"/>
      <w:numFmt w:val="bullet"/>
      <w:lvlText w:val=""/>
      <w:lvlJc w:val="left"/>
      <w:pPr>
        <w:tabs>
          <w:tab w:val="num" w:pos="2880"/>
        </w:tabs>
        <w:ind w:left="2880" w:hanging="360"/>
      </w:pPr>
      <w:rPr>
        <w:rFonts w:ascii="Symbol" w:hAnsi="Symbol" w:hint="default"/>
      </w:rPr>
    </w:lvl>
    <w:lvl w:ilvl="4" w:tplc="437C4912" w:tentative="1">
      <w:start w:val="1"/>
      <w:numFmt w:val="bullet"/>
      <w:lvlText w:val="o"/>
      <w:lvlJc w:val="left"/>
      <w:pPr>
        <w:tabs>
          <w:tab w:val="num" w:pos="3600"/>
        </w:tabs>
        <w:ind w:left="3600" w:hanging="360"/>
      </w:pPr>
      <w:rPr>
        <w:rFonts w:ascii="Courier New" w:hAnsi="Courier New" w:cs="Courier New" w:hint="default"/>
      </w:rPr>
    </w:lvl>
    <w:lvl w:ilvl="5" w:tplc="93886634" w:tentative="1">
      <w:start w:val="1"/>
      <w:numFmt w:val="bullet"/>
      <w:lvlText w:val=""/>
      <w:lvlJc w:val="left"/>
      <w:pPr>
        <w:tabs>
          <w:tab w:val="num" w:pos="4320"/>
        </w:tabs>
        <w:ind w:left="4320" w:hanging="360"/>
      </w:pPr>
      <w:rPr>
        <w:rFonts w:ascii="Wingdings" w:hAnsi="Wingdings" w:hint="default"/>
      </w:rPr>
    </w:lvl>
    <w:lvl w:ilvl="6" w:tplc="74DA736E" w:tentative="1">
      <w:start w:val="1"/>
      <w:numFmt w:val="bullet"/>
      <w:lvlText w:val=""/>
      <w:lvlJc w:val="left"/>
      <w:pPr>
        <w:tabs>
          <w:tab w:val="num" w:pos="5040"/>
        </w:tabs>
        <w:ind w:left="5040" w:hanging="360"/>
      </w:pPr>
      <w:rPr>
        <w:rFonts w:ascii="Symbol" w:hAnsi="Symbol" w:hint="default"/>
      </w:rPr>
    </w:lvl>
    <w:lvl w:ilvl="7" w:tplc="9E246E52" w:tentative="1">
      <w:start w:val="1"/>
      <w:numFmt w:val="bullet"/>
      <w:lvlText w:val="o"/>
      <w:lvlJc w:val="left"/>
      <w:pPr>
        <w:tabs>
          <w:tab w:val="num" w:pos="5760"/>
        </w:tabs>
        <w:ind w:left="5760" w:hanging="360"/>
      </w:pPr>
      <w:rPr>
        <w:rFonts w:ascii="Courier New" w:hAnsi="Courier New" w:cs="Courier New" w:hint="default"/>
      </w:rPr>
    </w:lvl>
    <w:lvl w:ilvl="8" w:tplc="D2A0D0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316B7"/>
    <w:multiLevelType w:val="hybridMultilevel"/>
    <w:tmpl w:val="7DC67BEE"/>
    <w:lvl w:ilvl="0" w:tplc="04090001">
      <w:start w:val="1"/>
      <w:numFmt w:val="bullet"/>
      <w:pStyle w:val="Tablebullet"/>
      <w:lvlText w:val=""/>
      <w:lvlJc w:val="left"/>
      <w:pPr>
        <w:ind w:left="36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E510B"/>
    <w:multiLevelType w:val="hybridMultilevel"/>
    <w:tmpl w:val="9EC0A52E"/>
    <w:lvl w:ilvl="0" w:tplc="CF488D8C">
      <w:start w:val="1"/>
      <w:numFmt w:val="bullet"/>
      <w:pStyle w:val="numbullet2"/>
      <w:lvlText w:val="o"/>
      <w:lvlJc w:val="left"/>
      <w:pPr>
        <w:ind w:left="1440" w:hanging="360"/>
      </w:pPr>
      <w:rPr>
        <w:rFonts w:ascii="Courier New" w:hAnsi="Courier New" w:hint="default"/>
        <w:sz w:val="14"/>
      </w:rPr>
    </w:lvl>
    <w:lvl w:ilvl="1" w:tplc="C420AD7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C85744"/>
    <w:multiLevelType w:val="hybridMultilevel"/>
    <w:tmpl w:val="25D81108"/>
    <w:lvl w:ilvl="0" w:tplc="EBD6FFC0">
      <w:start w:val="1"/>
      <w:numFmt w:val="bullet"/>
      <w:pStyle w:val="Bullet3"/>
      <w:lvlText w:val="-"/>
      <w:lvlJc w:val="left"/>
      <w:pPr>
        <w:ind w:left="1440" w:hanging="360"/>
      </w:pPr>
      <w:rPr>
        <w:rFonts w:ascii="Arial" w:hAnsi="Aria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71D95087"/>
    <w:multiLevelType w:val="hybridMultilevel"/>
    <w:tmpl w:val="67B2AD90"/>
    <w:lvl w:ilvl="0" w:tplc="A54A7996">
      <w:start w:val="1"/>
      <w:numFmt w:val="bullet"/>
      <w:pStyle w:val="numbullet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30"/>
  </w:num>
  <w:num w:numId="3">
    <w:abstractNumId w:val="15"/>
  </w:num>
  <w:num w:numId="4">
    <w:abstractNumId w:val="36"/>
  </w:num>
  <w:num w:numId="5">
    <w:abstractNumId w:val="8"/>
  </w:num>
  <w:num w:numId="6">
    <w:abstractNumId w:val="7"/>
  </w:num>
  <w:num w:numId="7">
    <w:abstractNumId w:val="6"/>
  </w:num>
  <w:num w:numId="8">
    <w:abstractNumId w:val="5"/>
  </w:num>
  <w:num w:numId="9">
    <w:abstractNumId w:val="4"/>
  </w:num>
  <w:num w:numId="10">
    <w:abstractNumId w:val="2"/>
  </w:num>
  <w:num w:numId="11">
    <w:abstractNumId w:val="1"/>
  </w:num>
  <w:num w:numId="12">
    <w:abstractNumId w:val="0"/>
  </w:num>
  <w:num w:numId="13">
    <w:abstractNumId w:val="17"/>
  </w:num>
  <w:num w:numId="14">
    <w:abstractNumId w:val="24"/>
  </w:num>
  <w:num w:numId="15">
    <w:abstractNumId w:val="38"/>
  </w:num>
  <w:num w:numId="16">
    <w:abstractNumId w:val="20"/>
  </w:num>
  <w:num w:numId="17">
    <w:abstractNumId w:val="11"/>
  </w:num>
  <w:num w:numId="18">
    <w:abstractNumId w:val="9"/>
  </w:num>
  <w:num w:numId="19">
    <w:abstractNumId w:val="37"/>
  </w:num>
  <w:num w:numId="20">
    <w:abstractNumId w:val="35"/>
  </w:num>
  <w:num w:numId="21">
    <w:abstractNumId w:val="33"/>
  </w:num>
  <w:num w:numId="22">
    <w:abstractNumId w:val="3"/>
  </w:num>
  <w:num w:numId="23">
    <w:abstractNumId w:val="34"/>
  </w:num>
  <w:num w:numId="24">
    <w:abstractNumId w:val="27"/>
  </w:num>
  <w:num w:numId="25">
    <w:abstractNumId w:val="39"/>
  </w:num>
  <w:num w:numId="26">
    <w:abstractNumId w:val="14"/>
  </w:num>
  <w:num w:numId="27">
    <w:abstractNumId w:val="18"/>
  </w:num>
  <w:num w:numId="28">
    <w:abstractNumId w:val="25"/>
  </w:num>
  <w:num w:numId="29">
    <w:abstractNumId w:val="22"/>
  </w:num>
  <w:num w:numId="30">
    <w:abstractNumId w:val="31"/>
  </w:num>
  <w:num w:numId="31">
    <w:abstractNumId w:val="32"/>
  </w:num>
  <w:num w:numId="32">
    <w:abstractNumId w:val="23"/>
  </w:num>
  <w:num w:numId="33">
    <w:abstractNumId w:val="26"/>
  </w:num>
  <w:num w:numId="34">
    <w:abstractNumId w:val="29"/>
  </w:num>
  <w:num w:numId="35">
    <w:abstractNumId w:val="12"/>
  </w:num>
  <w:num w:numId="36">
    <w:abstractNumId w:val="10"/>
  </w:num>
  <w:num w:numId="37">
    <w:abstractNumId w:val="13"/>
  </w:num>
  <w:num w:numId="38">
    <w:abstractNumId w:val="21"/>
  </w:num>
  <w:num w:numId="39">
    <w:abstractNumId w:val="16"/>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AA"/>
    <w:rsid w:val="0000017C"/>
    <w:rsid w:val="000006EA"/>
    <w:rsid w:val="00000ED7"/>
    <w:rsid w:val="00001175"/>
    <w:rsid w:val="000020B7"/>
    <w:rsid w:val="00003274"/>
    <w:rsid w:val="00003477"/>
    <w:rsid w:val="000037AC"/>
    <w:rsid w:val="00003E63"/>
    <w:rsid w:val="00004E64"/>
    <w:rsid w:val="00004E80"/>
    <w:rsid w:val="00006C5E"/>
    <w:rsid w:val="00006DE2"/>
    <w:rsid w:val="00006F1F"/>
    <w:rsid w:val="000070C0"/>
    <w:rsid w:val="00007B77"/>
    <w:rsid w:val="00010051"/>
    <w:rsid w:val="00011F16"/>
    <w:rsid w:val="00012065"/>
    <w:rsid w:val="00012532"/>
    <w:rsid w:val="000125D5"/>
    <w:rsid w:val="000130BE"/>
    <w:rsid w:val="00013DF1"/>
    <w:rsid w:val="0001505F"/>
    <w:rsid w:val="00015418"/>
    <w:rsid w:val="000172F5"/>
    <w:rsid w:val="00017B4A"/>
    <w:rsid w:val="00020479"/>
    <w:rsid w:val="00020491"/>
    <w:rsid w:val="00020897"/>
    <w:rsid w:val="0002166F"/>
    <w:rsid w:val="000218F8"/>
    <w:rsid w:val="000226A5"/>
    <w:rsid w:val="0002275F"/>
    <w:rsid w:val="000228FD"/>
    <w:rsid w:val="00022AA2"/>
    <w:rsid w:val="00022E83"/>
    <w:rsid w:val="00022EDE"/>
    <w:rsid w:val="0002381C"/>
    <w:rsid w:val="00023FAA"/>
    <w:rsid w:val="00026874"/>
    <w:rsid w:val="00026CE2"/>
    <w:rsid w:val="00027470"/>
    <w:rsid w:val="0002797C"/>
    <w:rsid w:val="000303B6"/>
    <w:rsid w:val="0003050B"/>
    <w:rsid w:val="0003074D"/>
    <w:rsid w:val="00032C0B"/>
    <w:rsid w:val="00032FD9"/>
    <w:rsid w:val="00033139"/>
    <w:rsid w:val="0003318C"/>
    <w:rsid w:val="000342AD"/>
    <w:rsid w:val="000348AF"/>
    <w:rsid w:val="000348F7"/>
    <w:rsid w:val="0003495A"/>
    <w:rsid w:val="00034BA5"/>
    <w:rsid w:val="00035800"/>
    <w:rsid w:val="00035E55"/>
    <w:rsid w:val="00036FF6"/>
    <w:rsid w:val="00041DA0"/>
    <w:rsid w:val="00042038"/>
    <w:rsid w:val="0004210F"/>
    <w:rsid w:val="00042B3B"/>
    <w:rsid w:val="000430CE"/>
    <w:rsid w:val="00043175"/>
    <w:rsid w:val="0004351F"/>
    <w:rsid w:val="00043667"/>
    <w:rsid w:val="0004383D"/>
    <w:rsid w:val="00043C78"/>
    <w:rsid w:val="000447F2"/>
    <w:rsid w:val="00044A2D"/>
    <w:rsid w:val="00044C71"/>
    <w:rsid w:val="00044FAD"/>
    <w:rsid w:val="000462CA"/>
    <w:rsid w:val="0004692C"/>
    <w:rsid w:val="0004703A"/>
    <w:rsid w:val="000470F3"/>
    <w:rsid w:val="00050191"/>
    <w:rsid w:val="00050397"/>
    <w:rsid w:val="00050A7D"/>
    <w:rsid w:val="00051197"/>
    <w:rsid w:val="000513E5"/>
    <w:rsid w:val="0005363A"/>
    <w:rsid w:val="00055F2C"/>
    <w:rsid w:val="000564E7"/>
    <w:rsid w:val="00056A1F"/>
    <w:rsid w:val="0005727E"/>
    <w:rsid w:val="00057CAD"/>
    <w:rsid w:val="00057D33"/>
    <w:rsid w:val="0006016F"/>
    <w:rsid w:val="000609AB"/>
    <w:rsid w:val="00061C11"/>
    <w:rsid w:val="00061D0B"/>
    <w:rsid w:val="0006203A"/>
    <w:rsid w:val="00062751"/>
    <w:rsid w:val="00062EF3"/>
    <w:rsid w:val="0006360C"/>
    <w:rsid w:val="000649E2"/>
    <w:rsid w:val="00067498"/>
    <w:rsid w:val="000679F5"/>
    <w:rsid w:val="00067EA2"/>
    <w:rsid w:val="00067F20"/>
    <w:rsid w:val="000708B4"/>
    <w:rsid w:val="00073C99"/>
    <w:rsid w:val="00074474"/>
    <w:rsid w:val="00075C54"/>
    <w:rsid w:val="000762ED"/>
    <w:rsid w:val="000763E8"/>
    <w:rsid w:val="000765A4"/>
    <w:rsid w:val="0007689F"/>
    <w:rsid w:val="00076A46"/>
    <w:rsid w:val="00076ABF"/>
    <w:rsid w:val="0007733A"/>
    <w:rsid w:val="00077738"/>
    <w:rsid w:val="0007786F"/>
    <w:rsid w:val="00082F0E"/>
    <w:rsid w:val="000839ED"/>
    <w:rsid w:val="00084B9F"/>
    <w:rsid w:val="00084E59"/>
    <w:rsid w:val="000850D5"/>
    <w:rsid w:val="0008588F"/>
    <w:rsid w:val="00085C8D"/>
    <w:rsid w:val="000868C4"/>
    <w:rsid w:val="0008776E"/>
    <w:rsid w:val="00090ACD"/>
    <w:rsid w:val="00090E16"/>
    <w:rsid w:val="00092308"/>
    <w:rsid w:val="00094AEC"/>
    <w:rsid w:val="000959E6"/>
    <w:rsid w:val="0009600C"/>
    <w:rsid w:val="000A04D4"/>
    <w:rsid w:val="000A1684"/>
    <w:rsid w:val="000A1F72"/>
    <w:rsid w:val="000A325B"/>
    <w:rsid w:val="000A4074"/>
    <w:rsid w:val="000A4110"/>
    <w:rsid w:val="000A651D"/>
    <w:rsid w:val="000A6B41"/>
    <w:rsid w:val="000A722B"/>
    <w:rsid w:val="000A7BB1"/>
    <w:rsid w:val="000B00EF"/>
    <w:rsid w:val="000B0E77"/>
    <w:rsid w:val="000B1573"/>
    <w:rsid w:val="000B35E7"/>
    <w:rsid w:val="000B3C63"/>
    <w:rsid w:val="000B3DF1"/>
    <w:rsid w:val="000B5FC0"/>
    <w:rsid w:val="000B7120"/>
    <w:rsid w:val="000B7CD0"/>
    <w:rsid w:val="000B7DD0"/>
    <w:rsid w:val="000C04DC"/>
    <w:rsid w:val="000C08EB"/>
    <w:rsid w:val="000C1B29"/>
    <w:rsid w:val="000C1E73"/>
    <w:rsid w:val="000C27BE"/>
    <w:rsid w:val="000C37AC"/>
    <w:rsid w:val="000C3936"/>
    <w:rsid w:val="000C4942"/>
    <w:rsid w:val="000C528D"/>
    <w:rsid w:val="000C64BC"/>
    <w:rsid w:val="000C6914"/>
    <w:rsid w:val="000C6B50"/>
    <w:rsid w:val="000C6CE8"/>
    <w:rsid w:val="000C6FB6"/>
    <w:rsid w:val="000C717F"/>
    <w:rsid w:val="000C73CA"/>
    <w:rsid w:val="000C742C"/>
    <w:rsid w:val="000C748E"/>
    <w:rsid w:val="000C7645"/>
    <w:rsid w:val="000C7704"/>
    <w:rsid w:val="000D0995"/>
    <w:rsid w:val="000D1627"/>
    <w:rsid w:val="000D16B4"/>
    <w:rsid w:val="000D2E92"/>
    <w:rsid w:val="000D3825"/>
    <w:rsid w:val="000D3952"/>
    <w:rsid w:val="000D426E"/>
    <w:rsid w:val="000D5B60"/>
    <w:rsid w:val="000D641F"/>
    <w:rsid w:val="000D6C21"/>
    <w:rsid w:val="000D76B2"/>
    <w:rsid w:val="000E0112"/>
    <w:rsid w:val="000E03E9"/>
    <w:rsid w:val="000E1C3A"/>
    <w:rsid w:val="000E1F25"/>
    <w:rsid w:val="000E2771"/>
    <w:rsid w:val="000E286A"/>
    <w:rsid w:val="000E33F6"/>
    <w:rsid w:val="000E3648"/>
    <w:rsid w:val="000E39C5"/>
    <w:rsid w:val="000E3CE2"/>
    <w:rsid w:val="000E46DD"/>
    <w:rsid w:val="000E616D"/>
    <w:rsid w:val="000E7B4E"/>
    <w:rsid w:val="000E7CC4"/>
    <w:rsid w:val="000E7DD3"/>
    <w:rsid w:val="000F0114"/>
    <w:rsid w:val="000F026C"/>
    <w:rsid w:val="000F131A"/>
    <w:rsid w:val="000F16BB"/>
    <w:rsid w:val="000F1D88"/>
    <w:rsid w:val="000F21BF"/>
    <w:rsid w:val="000F3072"/>
    <w:rsid w:val="000F7334"/>
    <w:rsid w:val="001000D3"/>
    <w:rsid w:val="001002F3"/>
    <w:rsid w:val="0010050A"/>
    <w:rsid w:val="00100EA0"/>
    <w:rsid w:val="00100F4B"/>
    <w:rsid w:val="00101FD8"/>
    <w:rsid w:val="00102E3C"/>
    <w:rsid w:val="0010333B"/>
    <w:rsid w:val="0010334D"/>
    <w:rsid w:val="001043D6"/>
    <w:rsid w:val="00104AC4"/>
    <w:rsid w:val="00104AFE"/>
    <w:rsid w:val="001054A8"/>
    <w:rsid w:val="00105D46"/>
    <w:rsid w:val="00105EBC"/>
    <w:rsid w:val="0010706E"/>
    <w:rsid w:val="001073A5"/>
    <w:rsid w:val="00110018"/>
    <w:rsid w:val="00112381"/>
    <w:rsid w:val="001123BF"/>
    <w:rsid w:val="001144B8"/>
    <w:rsid w:val="0011466A"/>
    <w:rsid w:val="00114B26"/>
    <w:rsid w:val="001151E7"/>
    <w:rsid w:val="00115412"/>
    <w:rsid w:val="00115F2F"/>
    <w:rsid w:val="001168D6"/>
    <w:rsid w:val="00116B96"/>
    <w:rsid w:val="00116FE3"/>
    <w:rsid w:val="001174E2"/>
    <w:rsid w:val="00117DD4"/>
    <w:rsid w:val="00117E6A"/>
    <w:rsid w:val="00120601"/>
    <w:rsid w:val="00120898"/>
    <w:rsid w:val="0012092B"/>
    <w:rsid w:val="00121063"/>
    <w:rsid w:val="00121B1C"/>
    <w:rsid w:val="00121DB3"/>
    <w:rsid w:val="001223D8"/>
    <w:rsid w:val="00122410"/>
    <w:rsid w:val="0012250A"/>
    <w:rsid w:val="00122FD4"/>
    <w:rsid w:val="001259D3"/>
    <w:rsid w:val="00125C8B"/>
    <w:rsid w:val="00125FFE"/>
    <w:rsid w:val="00126284"/>
    <w:rsid w:val="00126B82"/>
    <w:rsid w:val="0013198F"/>
    <w:rsid w:val="00131FB9"/>
    <w:rsid w:val="001324F4"/>
    <w:rsid w:val="00132E97"/>
    <w:rsid w:val="00133016"/>
    <w:rsid w:val="00133774"/>
    <w:rsid w:val="00134F1E"/>
    <w:rsid w:val="00134F3D"/>
    <w:rsid w:val="001352A2"/>
    <w:rsid w:val="0013552B"/>
    <w:rsid w:val="0013611A"/>
    <w:rsid w:val="00136306"/>
    <w:rsid w:val="00136587"/>
    <w:rsid w:val="001365CB"/>
    <w:rsid w:val="00136CFE"/>
    <w:rsid w:val="00136E8B"/>
    <w:rsid w:val="0013702F"/>
    <w:rsid w:val="00137823"/>
    <w:rsid w:val="0013792F"/>
    <w:rsid w:val="00140DDF"/>
    <w:rsid w:val="00140E48"/>
    <w:rsid w:val="00142AAF"/>
    <w:rsid w:val="00143086"/>
    <w:rsid w:val="00144C9D"/>
    <w:rsid w:val="00146A11"/>
    <w:rsid w:val="0014771F"/>
    <w:rsid w:val="00147E58"/>
    <w:rsid w:val="00150FAD"/>
    <w:rsid w:val="00151ABF"/>
    <w:rsid w:val="00151B50"/>
    <w:rsid w:val="00151FD6"/>
    <w:rsid w:val="0015255D"/>
    <w:rsid w:val="00152AD1"/>
    <w:rsid w:val="00153412"/>
    <w:rsid w:val="00154172"/>
    <w:rsid w:val="001554F2"/>
    <w:rsid w:val="001555AB"/>
    <w:rsid w:val="00155836"/>
    <w:rsid w:val="00156E4A"/>
    <w:rsid w:val="00161E54"/>
    <w:rsid w:val="0016236C"/>
    <w:rsid w:val="00162B65"/>
    <w:rsid w:val="00162D30"/>
    <w:rsid w:val="001631B2"/>
    <w:rsid w:val="001653A4"/>
    <w:rsid w:val="00165880"/>
    <w:rsid w:val="00165AE1"/>
    <w:rsid w:val="00166687"/>
    <w:rsid w:val="00166A9C"/>
    <w:rsid w:val="0016735B"/>
    <w:rsid w:val="00167C8F"/>
    <w:rsid w:val="001700F8"/>
    <w:rsid w:val="00170B2E"/>
    <w:rsid w:val="00171560"/>
    <w:rsid w:val="00173606"/>
    <w:rsid w:val="00173774"/>
    <w:rsid w:val="00173EC8"/>
    <w:rsid w:val="00174A7D"/>
    <w:rsid w:val="00175AD0"/>
    <w:rsid w:val="00176111"/>
    <w:rsid w:val="001766A9"/>
    <w:rsid w:val="00176BE9"/>
    <w:rsid w:val="00177396"/>
    <w:rsid w:val="0017789E"/>
    <w:rsid w:val="00180441"/>
    <w:rsid w:val="001806A3"/>
    <w:rsid w:val="001820E6"/>
    <w:rsid w:val="0018286D"/>
    <w:rsid w:val="00183241"/>
    <w:rsid w:val="00183CBF"/>
    <w:rsid w:val="0018407F"/>
    <w:rsid w:val="00184C9F"/>
    <w:rsid w:val="00186127"/>
    <w:rsid w:val="00186645"/>
    <w:rsid w:val="00186A9A"/>
    <w:rsid w:val="00187F6C"/>
    <w:rsid w:val="00187FEC"/>
    <w:rsid w:val="00187FF3"/>
    <w:rsid w:val="0019046D"/>
    <w:rsid w:val="001908F0"/>
    <w:rsid w:val="00192920"/>
    <w:rsid w:val="00193A53"/>
    <w:rsid w:val="00193C04"/>
    <w:rsid w:val="00193CCF"/>
    <w:rsid w:val="00195026"/>
    <w:rsid w:val="00195B91"/>
    <w:rsid w:val="001968E2"/>
    <w:rsid w:val="00196A42"/>
    <w:rsid w:val="00197884"/>
    <w:rsid w:val="0019788C"/>
    <w:rsid w:val="001A0019"/>
    <w:rsid w:val="001A083A"/>
    <w:rsid w:val="001A0D7F"/>
    <w:rsid w:val="001A1756"/>
    <w:rsid w:val="001A184B"/>
    <w:rsid w:val="001A2D5A"/>
    <w:rsid w:val="001A2DA0"/>
    <w:rsid w:val="001A37FC"/>
    <w:rsid w:val="001A40DE"/>
    <w:rsid w:val="001A4184"/>
    <w:rsid w:val="001A4229"/>
    <w:rsid w:val="001A473F"/>
    <w:rsid w:val="001A47AB"/>
    <w:rsid w:val="001A4A58"/>
    <w:rsid w:val="001A5918"/>
    <w:rsid w:val="001A5DBB"/>
    <w:rsid w:val="001A747E"/>
    <w:rsid w:val="001A75DB"/>
    <w:rsid w:val="001B003B"/>
    <w:rsid w:val="001B0337"/>
    <w:rsid w:val="001B11A6"/>
    <w:rsid w:val="001B1BBF"/>
    <w:rsid w:val="001B21DA"/>
    <w:rsid w:val="001B2423"/>
    <w:rsid w:val="001B24CE"/>
    <w:rsid w:val="001B33F1"/>
    <w:rsid w:val="001B39A7"/>
    <w:rsid w:val="001B3C2F"/>
    <w:rsid w:val="001B500E"/>
    <w:rsid w:val="001B5B36"/>
    <w:rsid w:val="001B6713"/>
    <w:rsid w:val="001B67E0"/>
    <w:rsid w:val="001B758D"/>
    <w:rsid w:val="001B7F7C"/>
    <w:rsid w:val="001C044D"/>
    <w:rsid w:val="001C05B6"/>
    <w:rsid w:val="001C0C74"/>
    <w:rsid w:val="001C2561"/>
    <w:rsid w:val="001C28F1"/>
    <w:rsid w:val="001C2A9A"/>
    <w:rsid w:val="001C2AD7"/>
    <w:rsid w:val="001C332A"/>
    <w:rsid w:val="001C3436"/>
    <w:rsid w:val="001C369E"/>
    <w:rsid w:val="001C378D"/>
    <w:rsid w:val="001C4254"/>
    <w:rsid w:val="001C4C98"/>
    <w:rsid w:val="001C56D8"/>
    <w:rsid w:val="001C65C1"/>
    <w:rsid w:val="001C6C83"/>
    <w:rsid w:val="001C6C98"/>
    <w:rsid w:val="001C6CEB"/>
    <w:rsid w:val="001C7747"/>
    <w:rsid w:val="001D119C"/>
    <w:rsid w:val="001D2004"/>
    <w:rsid w:val="001D3003"/>
    <w:rsid w:val="001D5112"/>
    <w:rsid w:val="001D5694"/>
    <w:rsid w:val="001D5846"/>
    <w:rsid w:val="001D5F1B"/>
    <w:rsid w:val="001D5F70"/>
    <w:rsid w:val="001D676B"/>
    <w:rsid w:val="001D6C91"/>
    <w:rsid w:val="001D6E89"/>
    <w:rsid w:val="001D75C7"/>
    <w:rsid w:val="001D7691"/>
    <w:rsid w:val="001D7F33"/>
    <w:rsid w:val="001E007F"/>
    <w:rsid w:val="001E0FEE"/>
    <w:rsid w:val="001E1761"/>
    <w:rsid w:val="001E1996"/>
    <w:rsid w:val="001E1D8B"/>
    <w:rsid w:val="001E1E1B"/>
    <w:rsid w:val="001E26F2"/>
    <w:rsid w:val="001E30EA"/>
    <w:rsid w:val="001E4D2A"/>
    <w:rsid w:val="001E4D3C"/>
    <w:rsid w:val="001E670E"/>
    <w:rsid w:val="001E72D3"/>
    <w:rsid w:val="001E747C"/>
    <w:rsid w:val="001E7498"/>
    <w:rsid w:val="001F0114"/>
    <w:rsid w:val="001F01D2"/>
    <w:rsid w:val="001F0252"/>
    <w:rsid w:val="001F03E0"/>
    <w:rsid w:val="001F0681"/>
    <w:rsid w:val="001F078E"/>
    <w:rsid w:val="001F0972"/>
    <w:rsid w:val="001F10AE"/>
    <w:rsid w:val="001F17E4"/>
    <w:rsid w:val="001F1DBF"/>
    <w:rsid w:val="001F2C5A"/>
    <w:rsid w:val="001F34B8"/>
    <w:rsid w:val="001F4C75"/>
    <w:rsid w:val="001F4CE6"/>
    <w:rsid w:val="001F548D"/>
    <w:rsid w:val="001F5705"/>
    <w:rsid w:val="001F6BD3"/>
    <w:rsid w:val="001F6CD1"/>
    <w:rsid w:val="001F6D0E"/>
    <w:rsid w:val="001F7D3F"/>
    <w:rsid w:val="001F7FB6"/>
    <w:rsid w:val="00200040"/>
    <w:rsid w:val="00201E96"/>
    <w:rsid w:val="002042CC"/>
    <w:rsid w:val="002048B1"/>
    <w:rsid w:val="002054EE"/>
    <w:rsid w:val="00205933"/>
    <w:rsid w:val="0020604D"/>
    <w:rsid w:val="002060FA"/>
    <w:rsid w:val="002064BD"/>
    <w:rsid w:val="0021015A"/>
    <w:rsid w:val="002104FE"/>
    <w:rsid w:val="002108B6"/>
    <w:rsid w:val="002108E1"/>
    <w:rsid w:val="0021095B"/>
    <w:rsid w:val="00210E72"/>
    <w:rsid w:val="002110BE"/>
    <w:rsid w:val="00211791"/>
    <w:rsid w:val="002125D5"/>
    <w:rsid w:val="00212E09"/>
    <w:rsid w:val="00214C51"/>
    <w:rsid w:val="00214E73"/>
    <w:rsid w:val="002156A3"/>
    <w:rsid w:val="0021573A"/>
    <w:rsid w:val="002163D0"/>
    <w:rsid w:val="00217177"/>
    <w:rsid w:val="002178F8"/>
    <w:rsid w:val="002216FD"/>
    <w:rsid w:val="00221F74"/>
    <w:rsid w:val="00222419"/>
    <w:rsid w:val="0022375C"/>
    <w:rsid w:val="00224604"/>
    <w:rsid w:val="00225030"/>
    <w:rsid w:val="002254F0"/>
    <w:rsid w:val="002260B7"/>
    <w:rsid w:val="00226781"/>
    <w:rsid w:val="00226F96"/>
    <w:rsid w:val="002274B9"/>
    <w:rsid w:val="00227C4D"/>
    <w:rsid w:val="00227EC1"/>
    <w:rsid w:val="0023004B"/>
    <w:rsid w:val="002305C8"/>
    <w:rsid w:val="00230B38"/>
    <w:rsid w:val="00230D89"/>
    <w:rsid w:val="002316D2"/>
    <w:rsid w:val="00231AC6"/>
    <w:rsid w:val="002331E7"/>
    <w:rsid w:val="002335EC"/>
    <w:rsid w:val="00233775"/>
    <w:rsid w:val="00234686"/>
    <w:rsid w:val="002348A3"/>
    <w:rsid w:val="00234EDF"/>
    <w:rsid w:val="002357EA"/>
    <w:rsid w:val="00235DB4"/>
    <w:rsid w:val="002406B5"/>
    <w:rsid w:val="00240874"/>
    <w:rsid w:val="00240988"/>
    <w:rsid w:val="002409EA"/>
    <w:rsid w:val="00240C7D"/>
    <w:rsid w:val="00241004"/>
    <w:rsid w:val="00241A03"/>
    <w:rsid w:val="002421BA"/>
    <w:rsid w:val="0024299A"/>
    <w:rsid w:val="00242CA1"/>
    <w:rsid w:val="00243861"/>
    <w:rsid w:val="00245781"/>
    <w:rsid w:val="00245942"/>
    <w:rsid w:val="00247E06"/>
    <w:rsid w:val="0025004E"/>
    <w:rsid w:val="00250797"/>
    <w:rsid w:val="00250B55"/>
    <w:rsid w:val="00252C3E"/>
    <w:rsid w:val="0025359E"/>
    <w:rsid w:val="002535CD"/>
    <w:rsid w:val="00253FB1"/>
    <w:rsid w:val="002546B5"/>
    <w:rsid w:val="00254C40"/>
    <w:rsid w:val="00254D6A"/>
    <w:rsid w:val="00254DDB"/>
    <w:rsid w:val="0025627D"/>
    <w:rsid w:val="00260BE5"/>
    <w:rsid w:val="00260F60"/>
    <w:rsid w:val="0026160B"/>
    <w:rsid w:val="0026217E"/>
    <w:rsid w:val="00262C65"/>
    <w:rsid w:val="002634A4"/>
    <w:rsid w:val="00263887"/>
    <w:rsid w:val="00264F2F"/>
    <w:rsid w:val="00264FFA"/>
    <w:rsid w:val="00265B64"/>
    <w:rsid w:val="00265E87"/>
    <w:rsid w:val="0026600F"/>
    <w:rsid w:val="002672B6"/>
    <w:rsid w:val="00267B7D"/>
    <w:rsid w:val="00270134"/>
    <w:rsid w:val="00270473"/>
    <w:rsid w:val="002709D1"/>
    <w:rsid w:val="00270BD5"/>
    <w:rsid w:val="002728A9"/>
    <w:rsid w:val="00272D1C"/>
    <w:rsid w:val="0027316B"/>
    <w:rsid w:val="00273451"/>
    <w:rsid w:val="00273CAB"/>
    <w:rsid w:val="002748D2"/>
    <w:rsid w:val="00274F14"/>
    <w:rsid w:val="00277388"/>
    <w:rsid w:val="00277FB1"/>
    <w:rsid w:val="00281E52"/>
    <w:rsid w:val="002838CA"/>
    <w:rsid w:val="0028439F"/>
    <w:rsid w:val="00284877"/>
    <w:rsid w:val="00284BB9"/>
    <w:rsid w:val="00284F21"/>
    <w:rsid w:val="002851D7"/>
    <w:rsid w:val="0028579C"/>
    <w:rsid w:val="00285CEB"/>
    <w:rsid w:val="002860B5"/>
    <w:rsid w:val="002865A0"/>
    <w:rsid w:val="00286CCE"/>
    <w:rsid w:val="002871AD"/>
    <w:rsid w:val="002873D8"/>
    <w:rsid w:val="00287922"/>
    <w:rsid w:val="00287C38"/>
    <w:rsid w:val="00287FAE"/>
    <w:rsid w:val="002909C7"/>
    <w:rsid w:val="00291323"/>
    <w:rsid w:val="0029197E"/>
    <w:rsid w:val="00292378"/>
    <w:rsid w:val="00294AB9"/>
    <w:rsid w:val="002952F1"/>
    <w:rsid w:val="00295A1C"/>
    <w:rsid w:val="00295C0C"/>
    <w:rsid w:val="00295E9E"/>
    <w:rsid w:val="00295F52"/>
    <w:rsid w:val="00296835"/>
    <w:rsid w:val="00296F00"/>
    <w:rsid w:val="002A00BC"/>
    <w:rsid w:val="002A00BD"/>
    <w:rsid w:val="002A08E5"/>
    <w:rsid w:val="002A22FE"/>
    <w:rsid w:val="002A2658"/>
    <w:rsid w:val="002A3C1F"/>
    <w:rsid w:val="002A3EEF"/>
    <w:rsid w:val="002A4208"/>
    <w:rsid w:val="002A492D"/>
    <w:rsid w:val="002A51D8"/>
    <w:rsid w:val="002A527E"/>
    <w:rsid w:val="002A55BD"/>
    <w:rsid w:val="002A5908"/>
    <w:rsid w:val="002A6D31"/>
    <w:rsid w:val="002A736C"/>
    <w:rsid w:val="002A7A5C"/>
    <w:rsid w:val="002B0025"/>
    <w:rsid w:val="002B00A2"/>
    <w:rsid w:val="002B0800"/>
    <w:rsid w:val="002B13BE"/>
    <w:rsid w:val="002B1D5B"/>
    <w:rsid w:val="002B29BC"/>
    <w:rsid w:val="002B2CFE"/>
    <w:rsid w:val="002B40F1"/>
    <w:rsid w:val="002B4216"/>
    <w:rsid w:val="002B482E"/>
    <w:rsid w:val="002B6AA1"/>
    <w:rsid w:val="002B6FC3"/>
    <w:rsid w:val="002C10D6"/>
    <w:rsid w:val="002C1917"/>
    <w:rsid w:val="002C290B"/>
    <w:rsid w:val="002C3F74"/>
    <w:rsid w:val="002C4287"/>
    <w:rsid w:val="002C5F37"/>
    <w:rsid w:val="002C7716"/>
    <w:rsid w:val="002D0567"/>
    <w:rsid w:val="002D1BA1"/>
    <w:rsid w:val="002D2121"/>
    <w:rsid w:val="002D2519"/>
    <w:rsid w:val="002D270E"/>
    <w:rsid w:val="002D359A"/>
    <w:rsid w:val="002D47D9"/>
    <w:rsid w:val="002D48B1"/>
    <w:rsid w:val="002D4CCA"/>
    <w:rsid w:val="002D58B8"/>
    <w:rsid w:val="002D591B"/>
    <w:rsid w:val="002D5C35"/>
    <w:rsid w:val="002D742E"/>
    <w:rsid w:val="002E11C4"/>
    <w:rsid w:val="002E1297"/>
    <w:rsid w:val="002E1F0F"/>
    <w:rsid w:val="002E247D"/>
    <w:rsid w:val="002E2B36"/>
    <w:rsid w:val="002E3C3C"/>
    <w:rsid w:val="002E509C"/>
    <w:rsid w:val="002E5182"/>
    <w:rsid w:val="002E68EB"/>
    <w:rsid w:val="002E697F"/>
    <w:rsid w:val="002E71D8"/>
    <w:rsid w:val="002E73BC"/>
    <w:rsid w:val="002E73EE"/>
    <w:rsid w:val="002F000D"/>
    <w:rsid w:val="002F016D"/>
    <w:rsid w:val="002F05E5"/>
    <w:rsid w:val="002F0AD9"/>
    <w:rsid w:val="002F1113"/>
    <w:rsid w:val="002F1D69"/>
    <w:rsid w:val="002F2BCD"/>
    <w:rsid w:val="002F4265"/>
    <w:rsid w:val="002F4E22"/>
    <w:rsid w:val="002F6048"/>
    <w:rsid w:val="002F6368"/>
    <w:rsid w:val="00302394"/>
    <w:rsid w:val="00303AC9"/>
    <w:rsid w:val="003057F3"/>
    <w:rsid w:val="00305B23"/>
    <w:rsid w:val="00305C38"/>
    <w:rsid w:val="00305EB5"/>
    <w:rsid w:val="00306179"/>
    <w:rsid w:val="00306CC6"/>
    <w:rsid w:val="003073B5"/>
    <w:rsid w:val="0031023E"/>
    <w:rsid w:val="003102CD"/>
    <w:rsid w:val="00310391"/>
    <w:rsid w:val="003108BE"/>
    <w:rsid w:val="00310DAE"/>
    <w:rsid w:val="00310E32"/>
    <w:rsid w:val="00310FE6"/>
    <w:rsid w:val="003111A4"/>
    <w:rsid w:val="00311598"/>
    <w:rsid w:val="003115D9"/>
    <w:rsid w:val="00311CB0"/>
    <w:rsid w:val="00313719"/>
    <w:rsid w:val="003146F0"/>
    <w:rsid w:val="00314934"/>
    <w:rsid w:val="0031546D"/>
    <w:rsid w:val="00317007"/>
    <w:rsid w:val="003173D8"/>
    <w:rsid w:val="00317735"/>
    <w:rsid w:val="003208D2"/>
    <w:rsid w:val="003219D4"/>
    <w:rsid w:val="00322429"/>
    <w:rsid w:val="003226A0"/>
    <w:rsid w:val="00322C4C"/>
    <w:rsid w:val="0032320B"/>
    <w:rsid w:val="00323470"/>
    <w:rsid w:val="003234CD"/>
    <w:rsid w:val="00325A9A"/>
    <w:rsid w:val="0032605C"/>
    <w:rsid w:val="00327D54"/>
    <w:rsid w:val="00330445"/>
    <w:rsid w:val="0033064D"/>
    <w:rsid w:val="00330D8B"/>
    <w:rsid w:val="00331CAE"/>
    <w:rsid w:val="0033211C"/>
    <w:rsid w:val="00333674"/>
    <w:rsid w:val="00333F6D"/>
    <w:rsid w:val="003341C8"/>
    <w:rsid w:val="00334F07"/>
    <w:rsid w:val="00334FDD"/>
    <w:rsid w:val="00335372"/>
    <w:rsid w:val="003354DB"/>
    <w:rsid w:val="00335836"/>
    <w:rsid w:val="00336C00"/>
    <w:rsid w:val="00336F2C"/>
    <w:rsid w:val="0033727B"/>
    <w:rsid w:val="00337362"/>
    <w:rsid w:val="003376D8"/>
    <w:rsid w:val="00340740"/>
    <w:rsid w:val="003414AD"/>
    <w:rsid w:val="00342664"/>
    <w:rsid w:val="003431D5"/>
    <w:rsid w:val="00343E8A"/>
    <w:rsid w:val="0034406C"/>
    <w:rsid w:val="003453B3"/>
    <w:rsid w:val="003453D4"/>
    <w:rsid w:val="00345552"/>
    <w:rsid w:val="0034605B"/>
    <w:rsid w:val="00347207"/>
    <w:rsid w:val="003478FD"/>
    <w:rsid w:val="00347D00"/>
    <w:rsid w:val="00347E13"/>
    <w:rsid w:val="003516E2"/>
    <w:rsid w:val="00351E79"/>
    <w:rsid w:val="00352670"/>
    <w:rsid w:val="00352F65"/>
    <w:rsid w:val="00353178"/>
    <w:rsid w:val="00353210"/>
    <w:rsid w:val="00353E55"/>
    <w:rsid w:val="003557BD"/>
    <w:rsid w:val="0035633C"/>
    <w:rsid w:val="0035666E"/>
    <w:rsid w:val="003566C3"/>
    <w:rsid w:val="00356FE8"/>
    <w:rsid w:val="00357772"/>
    <w:rsid w:val="00361021"/>
    <w:rsid w:val="00361A86"/>
    <w:rsid w:val="003625AC"/>
    <w:rsid w:val="00362653"/>
    <w:rsid w:val="003626EC"/>
    <w:rsid w:val="00362A61"/>
    <w:rsid w:val="00362F9D"/>
    <w:rsid w:val="00363581"/>
    <w:rsid w:val="00363B0C"/>
    <w:rsid w:val="00363F8F"/>
    <w:rsid w:val="003646D6"/>
    <w:rsid w:val="003646E8"/>
    <w:rsid w:val="00365754"/>
    <w:rsid w:val="003657F1"/>
    <w:rsid w:val="00370818"/>
    <w:rsid w:val="003717F8"/>
    <w:rsid w:val="00371F9F"/>
    <w:rsid w:val="003755D9"/>
    <w:rsid w:val="00375658"/>
    <w:rsid w:val="0037576F"/>
    <w:rsid w:val="00376197"/>
    <w:rsid w:val="003761AD"/>
    <w:rsid w:val="0037672D"/>
    <w:rsid w:val="003779F7"/>
    <w:rsid w:val="00381662"/>
    <w:rsid w:val="003817A3"/>
    <w:rsid w:val="00381984"/>
    <w:rsid w:val="003821B1"/>
    <w:rsid w:val="00382239"/>
    <w:rsid w:val="00382EB1"/>
    <w:rsid w:val="00383F0C"/>
    <w:rsid w:val="00384004"/>
    <w:rsid w:val="003849A4"/>
    <w:rsid w:val="00385146"/>
    <w:rsid w:val="00386DB7"/>
    <w:rsid w:val="0038769C"/>
    <w:rsid w:val="003879BF"/>
    <w:rsid w:val="00390223"/>
    <w:rsid w:val="0039065E"/>
    <w:rsid w:val="003907F9"/>
    <w:rsid w:val="00390F3A"/>
    <w:rsid w:val="003922B9"/>
    <w:rsid w:val="00392EBA"/>
    <w:rsid w:val="00393559"/>
    <w:rsid w:val="00393608"/>
    <w:rsid w:val="003936AD"/>
    <w:rsid w:val="003936E1"/>
    <w:rsid w:val="0039381C"/>
    <w:rsid w:val="00393A06"/>
    <w:rsid w:val="0039462B"/>
    <w:rsid w:val="00395222"/>
    <w:rsid w:val="00396078"/>
    <w:rsid w:val="003961A5"/>
    <w:rsid w:val="00396265"/>
    <w:rsid w:val="00396B41"/>
    <w:rsid w:val="00397326"/>
    <w:rsid w:val="0039747F"/>
    <w:rsid w:val="00397AFF"/>
    <w:rsid w:val="00397BFA"/>
    <w:rsid w:val="003A0044"/>
    <w:rsid w:val="003A04BB"/>
    <w:rsid w:val="003A0DA7"/>
    <w:rsid w:val="003A0FFD"/>
    <w:rsid w:val="003A15AE"/>
    <w:rsid w:val="003A3A5C"/>
    <w:rsid w:val="003A4052"/>
    <w:rsid w:val="003A4ED7"/>
    <w:rsid w:val="003A5542"/>
    <w:rsid w:val="003A55E3"/>
    <w:rsid w:val="003A5C5B"/>
    <w:rsid w:val="003A6B23"/>
    <w:rsid w:val="003A7442"/>
    <w:rsid w:val="003A750A"/>
    <w:rsid w:val="003A7B21"/>
    <w:rsid w:val="003B0205"/>
    <w:rsid w:val="003B08EB"/>
    <w:rsid w:val="003B0BB9"/>
    <w:rsid w:val="003B0E33"/>
    <w:rsid w:val="003B0FB9"/>
    <w:rsid w:val="003B11E9"/>
    <w:rsid w:val="003B1FC3"/>
    <w:rsid w:val="003B200B"/>
    <w:rsid w:val="003B27F4"/>
    <w:rsid w:val="003B2A90"/>
    <w:rsid w:val="003B3E99"/>
    <w:rsid w:val="003B4D52"/>
    <w:rsid w:val="003B58AA"/>
    <w:rsid w:val="003B5C63"/>
    <w:rsid w:val="003B6A35"/>
    <w:rsid w:val="003B7919"/>
    <w:rsid w:val="003C00B9"/>
    <w:rsid w:val="003C050D"/>
    <w:rsid w:val="003C135B"/>
    <w:rsid w:val="003C18EA"/>
    <w:rsid w:val="003C2AC2"/>
    <w:rsid w:val="003C30F2"/>
    <w:rsid w:val="003C42C3"/>
    <w:rsid w:val="003C5A4A"/>
    <w:rsid w:val="003C5A98"/>
    <w:rsid w:val="003C5C14"/>
    <w:rsid w:val="003C75A7"/>
    <w:rsid w:val="003C7AAA"/>
    <w:rsid w:val="003C7BDD"/>
    <w:rsid w:val="003D083F"/>
    <w:rsid w:val="003D1252"/>
    <w:rsid w:val="003D2CCC"/>
    <w:rsid w:val="003D3733"/>
    <w:rsid w:val="003D400C"/>
    <w:rsid w:val="003D4304"/>
    <w:rsid w:val="003D4330"/>
    <w:rsid w:val="003D4EF1"/>
    <w:rsid w:val="003D504A"/>
    <w:rsid w:val="003D56DD"/>
    <w:rsid w:val="003D57F6"/>
    <w:rsid w:val="003D76D1"/>
    <w:rsid w:val="003D7844"/>
    <w:rsid w:val="003E0B34"/>
    <w:rsid w:val="003E1768"/>
    <w:rsid w:val="003E2438"/>
    <w:rsid w:val="003E2751"/>
    <w:rsid w:val="003E2919"/>
    <w:rsid w:val="003E3464"/>
    <w:rsid w:val="003E36DA"/>
    <w:rsid w:val="003E4160"/>
    <w:rsid w:val="003E4880"/>
    <w:rsid w:val="003E4D15"/>
    <w:rsid w:val="003E64F6"/>
    <w:rsid w:val="003E69C0"/>
    <w:rsid w:val="003E6C9E"/>
    <w:rsid w:val="003E7327"/>
    <w:rsid w:val="003F0849"/>
    <w:rsid w:val="003F14D8"/>
    <w:rsid w:val="003F14EE"/>
    <w:rsid w:val="003F3199"/>
    <w:rsid w:val="003F3946"/>
    <w:rsid w:val="003F3BF1"/>
    <w:rsid w:val="003F3FA0"/>
    <w:rsid w:val="003F4877"/>
    <w:rsid w:val="003F49F0"/>
    <w:rsid w:val="003F4AA2"/>
    <w:rsid w:val="003F4BCC"/>
    <w:rsid w:val="003F4E7D"/>
    <w:rsid w:val="003F583A"/>
    <w:rsid w:val="003F5A15"/>
    <w:rsid w:val="003F6BF0"/>
    <w:rsid w:val="003F710C"/>
    <w:rsid w:val="003F7E0B"/>
    <w:rsid w:val="0040234D"/>
    <w:rsid w:val="0040305D"/>
    <w:rsid w:val="00403149"/>
    <w:rsid w:val="00403EAC"/>
    <w:rsid w:val="00404827"/>
    <w:rsid w:val="004054CD"/>
    <w:rsid w:val="00405C91"/>
    <w:rsid w:val="0040642F"/>
    <w:rsid w:val="004078D4"/>
    <w:rsid w:val="00407945"/>
    <w:rsid w:val="00410949"/>
    <w:rsid w:val="00410959"/>
    <w:rsid w:val="00410CC6"/>
    <w:rsid w:val="00411211"/>
    <w:rsid w:val="00412530"/>
    <w:rsid w:val="00412C66"/>
    <w:rsid w:val="00413629"/>
    <w:rsid w:val="00414C56"/>
    <w:rsid w:val="00414DC8"/>
    <w:rsid w:val="00415344"/>
    <w:rsid w:val="004154A4"/>
    <w:rsid w:val="00415ACE"/>
    <w:rsid w:val="004163BE"/>
    <w:rsid w:val="004165D6"/>
    <w:rsid w:val="00416FFE"/>
    <w:rsid w:val="00417F17"/>
    <w:rsid w:val="00420264"/>
    <w:rsid w:val="004202AD"/>
    <w:rsid w:val="004204C3"/>
    <w:rsid w:val="00420C51"/>
    <w:rsid w:val="00420FE8"/>
    <w:rsid w:val="004213FE"/>
    <w:rsid w:val="00421915"/>
    <w:rsid w:val="004219AA"/>
    <w:rsid w:val="00422921"/>
    <w:rsid w:val="0042365E"/>
    <w:rsid w:val="00423889"/>
    <w:rsid w:val="004249CA"/>
    <w:rsid w:val="00424BD2"/>
    <w:rsid w:val="004269AC"/>
    <w:rsid w:val="00427288"/>
    <w:rsid w:val="00427C30"/>
    <w:rsid w:val="00427E66"/>
    <w:rsid w:val="004307A3"/>
    <w:rsid w:val="00430FA1"/>
    <w:rsid w:val="00431097"/>
    <w:rsid w:val="00431B1D"/>
    <w:rsid w:val="00433FEF"/>
    <w:rsid w:val="004348D9"/>
    <w:rsid w:val="00436E63"/>
    <w:rsid w:val="00437025"/>
    <w:rsid w:val="004372AF"/>
    <w:rsid w:val="00437DC0"/>
    <w:rsid w:val="00440A20"/>
    <w:rsid w:val="004421A3"/>
    <w:rsid w:val="00443A9C"/>
    <w:rsid w:val="00445116"/>
    <w:rsid w:val="00445650"/>
    <w:rsid w:val="00445FE7"/>
    <w:rsid w:val="004477FB"/>
    <w:rsid w:val="004506E7"/>
    <w:rsid w:val="00450F58"/>
    <w:rsid w:val="0045112A"/>
    <w:rsid w:val="00451DE4"/>
    <w:rsid w:val="0045240F"/>
    <w:rsid w:val="00453AB4"/>
    <w:rsid w:val="004541B2"/>
    <w:rsid w:val="00454868"/>
    <w:rsid w:val="004552CF"/>
    <w:rsid w:val="0045677D"/>
    <w:rsid w:val="00456915"/>
    <w:rsid w:val="00457092"/>
    <w:rsid w:val="00457FBC"/>
    <w:rsid w:val="00460FC2"/>
    <w:rsid w:val="004613F2"/>
    <w:rsid w:val="00462271"/>
    <w:rsid w:val="004630CF"/>
    <w:rsid w:val="00465029"/>
    <w:rsid w:val="00465DAF"/>
    <w:rsid w:val="00466884"/>
    <w:rsid w:val="004674DA"/>
    <w:rsid w:val="004704CA"/>
    <w:rsid w:val="0047061D"/>
    <w:rsid w:val="00472624"/>
    <w:rsid w:val="0047299D"/>
    <w:rsid w:val="0047315D"/>
    <w:rsid w:val="00473C5D"/>
    <w:rsid w:val="00473E8D"/>
    <w:rsid w:val="00474A73"/>
    <w:rsid w:val="00474F8F"/>
    <w:rsid w:val="00475D3E"/>
    <w:rsid w:val="00476D32"/>
    <w:rsid w:val="004805A2"/>
    <w:rsid w:val="0048064A"/>
    <w:rsid w:val="00480B24"/>
    <w:rsid w:val="00481D94"/>
    <w:rsid w:val="004822F3"/>
    <w:rsid w:val="004823C2"/>
    <w:rsid w:val="00482DE1"/>
    <w:rsid w:val="00483550"/>
    <w:rsid w:val="00484036"/>
    <w:rsid w:val="00484DD3"/>
    <w:rsid w:val="00485BFC"/>
    <w:rsid w:val="0048668E"/>
    <w:rsid w:val="0048695D"/>
    <w:rsid w:val="00486A41"/>
    <w:rsid w:val="00486FB5"/>
    <w:rsid w:val="004871F7"/>
    <w:rsid w:val="00487A57"/>
    <w:rsid w:val="00490AA6"/>
    <w:rsid w:val="004911D3"/>
    <w:rsid w:val="00491FCB"/>
    <w:rsid w:val="004933D3"/>
    <w:rsid w:val="004934F0"/>
    <w:rsid w:val="00493BFA"/>
    <w:rsid w:val="00494670"/>
    <w:rsid w:val="004947FC"/>
    <w:rsid w:val="004956FE"/>
    <w:rsid w:val="0049579D"/>
    <w:rsid w:val="00495ABD"/>
    <w:rsid w:val="004963DA"/>
    <w:rsid w:val="0049677E"/>
    <w:rsid w:val="004970ED"/>
    <w:rsid w:val="004A06B9"/>
    <w:rsid w:val="004A0C82"/>
    <w:rsid w:val="004A1246"/>
    <w:rsid w:val="004A218B"/>
    <w:rsid w:val="004A2487"/>
    <w:rsid w:val="004A24EC"/>
    <w:rsid w:val="004A26FF"/>
    <w:rsid w:val="004A2871"/>
    <w:rsid w:val="004A389E"/>
    <w:rsid w:val="004A38B6"/>
    <w:rsid w:val="004A4076"/>
    <w:rsid w:val="004A5ACC"/>
    <w:rsid w:val="004A5DA4"/>
    <w:rsid w:val="004A6BE5"/>
    <w:rsid w:val="004B1304"/>
    <w:rsid w:val="004B16DA"/>
    <w:rsid w:val="004B2964"/>
    <w:rsid w:val="004B2C65"/>
    <w:rsid w:val="004B3F52"/>
    <w:rsid w:val="004B44BF"/>
    <w:rsid w:val="004B5069"/>
    <w:rsid w:val="004B515C"/>
    <w:rsid w:val="004B599B"/>
    <w:rsid w:val="004B5E84"/>
    <w:rsid w:val="004B647E"/>
    <w:rsid w:val="004B7DD9"/>
    <w:rsid w:val="004C0AD8"/>
    <w:rsid w:val="004C1F5C"/>
    <w:rsid w:val="004C3D92"/>
    <w:rsid w:val="004C471D"/>
    <w:rsid w:val="004C4B34"/>
    <w:rsid w:val="004C4D47"/>
    <w:rsid w:val="004C5B66"/>
    <w:rsid w:val="004C6679"/>
    <w:rsid w:val="004C6783"/>
    <w:rsid w:val="004D0851"/>
    <w:rsid w:val="004D1275"/>
    <w:rsid w:val="004D3EFB"/>
    <w:rsid w:val="004D3F4C"/>
    <w:rsid w:val="004D46E6"/>
    <w:rsid w:val="004D4BEA"/>
    <w:rsid w:val="004D5409"/>
    <w:rsid w:val="004D5CC2"/>
    <w:rsid w:val="004D614E"/>
    <w:rsid w:val="004D6A39"/>
    <w:rsid w:val="004D6A65"/>
    <w:rsid w:val="004D6D09"/>
    <w:rsid w:val="004D707C"/>
    <w:rsid w:val="004D765B"/>
    <w:rsid w:val="004E00D5"/>
    <w:rsid w:val="004E046C"/>
    <w:rsid w:val="004E066D"/>
    <w:rsid w:val="004E083C"/>
    <w:rsid w:val="004E08F5"/>
    <w:rsid w:val="004E18DA"/>
    <w:rsid w:val="004E21AB"/>
    <w:rsid w:val="004E2468"/>
    <w:rsid w:val="004E27B9"/>
    <w:rsid w:val="004E2CD2"/>
    <w:rsid w:val="004E334A"/>
    <w:rsid w:val="004E5964"/>
    <w:rsid w:val="004E5BA8"/>
    <w:rsid w:val="004E5EE5"/>
    <w:rsid w:val="004E6976"/>
    <w:rsid w:val="004E7372"/>
    <w:rsid w:val="004E73E1"/>
    <w:rsid w:val="004E78D9"/>
    <w:rsid w:val="004E7A67"/>
    <w:rsid w:val="004F0F17"/>
    <w:rsid w:val="004F2005"/>
    <w:rsid w:val="004F22DF"/>
    <w:rsid w:val="004F45D9"/>
    <w:rsid w:val="004F54D4"/>
    <w:rsid w:val="004F5553"/>
    <w:rsid w:val="004F7C02"/>
    <w:rsid w:val="005004AF"/>
    <w:rsid w:val="00502591"/>
    <w:rsid w:val="00502C92"/>
    <w:rsid w:val="005031D6"/>
    <w:rsid w:val="0050573D"/>
    <w:rsid w:val="00506E13"/>
    <w:rsid w:val="0051065C"/>
    <w:rsid w:val="00511883"/>
    <w:rsid w:val="00511D34"/>
    <w:rsid w:val="00512517"/>
    <w:rsid w:val="00512E41"/>
    <w:rsid w:val="00513979"/>
    <w:rsid w:val="005148A3"/>
    <w:rsid w:val="00515523"/>
    <w:rsid w:val="005161A7"/>
    <w:rsid w:val="005170DB"/>
    <w:rsid w:val="005171FA"/>
    <w:rsid w:val="00517CA3"/>
    <w:rsid w:val="0052033E"/>
    <w:rsid w:val="0052052E"/>
    <w:rsid w:val="00520F2D"/>
    <w:rsid w:val="0052302B"/>
    <w:rsid w:val="005230B1"/>
    <w:rsid w:val="00523B4A"/>
    <w:rsid w:val="00523F52"/>
    <w:rsid w:val="005254D0"/>
    <w:rsid w:val="00525663"/>
    <w:rsid w:val="005259D4"/>
    <w:rsid w:val="0052633C"/>
    <w:rsid w:val="00526602"/>
    <w:rsid w:val="00531196"/>
    <w:rsid w:val="00531817"/>
    <w:rsid w:val="005318EC"/>
    <w:rsid w:val="00531B87"/>
    <w:rsid w:val="00531E60"/>
    <w:rsid w:val="0053204A"/>
    <w:rsid w:val="005336D3"/>
    <w:rsid w:val="0053375B"/>
    <w:rsid w:val="00534B23"/>
    <w:rsid w:val="0053633F"/>
    <w:rsid w:val="00536A50"/>
    <w:rsid w:val="00536BDA"/>
    <w:rsid w:val="00536C67"/>
    <w:rsid w:val="00536D14"/>
    <w:rsid w:val="00537245"/>
    <w:rsid w:val="00537279"/>
    <w:rsid w:val="00537304"/>
    <w:rsid w:val="00537557"/>
    <w:rsid w:val="005375E5"/>
    <w:rsid w:val="005402F3"/>
    <w:rsid w:val="00540CF7"/>
    <w:rsid w:val="00540D19"/>
    <w:rsid w:val="00541D45"/>
    <w:rsid w:val="005421BE"/>
    <w:rsid w:val="005425C8"/>
    <w:rsid w:val="005431D0"/>
    <w:rsid w:val="00543213"/>
    <w:rsid w:val="00543EEA"/>
    <w:rsid w:val="00544431"/>
    <w:rsid w:val="00544B90"/>
    <w:rsid w:val="00546982"/>
    <w:rsid w:val="00547187"/>
    <w:rsid w:val="00547751"/>
    <w:rsid w:val="00547884"/>
    <w:rsid w:val="00547A56"/>
    <w:rsid w:val="00547DDE"/>
    <w:rsid w:val="005500F9"/>
    <w:rsid w:val="0055042F"/>
    <w:rsid w:val="00550918"/>
    <w:rsid w:val="005519A9"/>
    <w:rsid w:val="00551D71"/>
    <w:rsid w:val="00551DD0"/>
    <w:rsid w:val="00552424"/>
    <w:rsid w:val="00552750"/>
    <w:rsid w:val="00553081"/>
    <w:rsid w:val="00554401"/>
    <w:rsid w:val="0055524B"/>
    <w:rsid w:val="00555352"/>
    <w:rsid w:val="00555A94"/>
    <w:rsid w:val="00556AD5"/>
    <w:rsid w:val="00556C71"/>
    <w:rsid w:val="00556F37"/>
    <w:rsid w:val="00557100"/>
    <w:rsid w:val="005574CC"/>
    <w:rsid w:val="00557548"/>
    <w:rsid w:val="00561D22"/>
    <w:rsid w:val="00561EEA"/>
    <w:rsid w:val="005626EC"/>
    <w:rsid w:val="00562DEB"/>
    <w:rsid w:val="00563407"/>
    <w:rsid w:val="00563C30"/>
    <w:rsid w:val="005640DD"/>
    <w:rsid w:val="005665C3"/>
    <w:rsid w:val="00566717"/>
    <w:rsid w:val="00567926"/>
    <w:rsid w:val="00567FF3"/>
    <w:rsid w:val="005711D6"/>
    <w:rsid w:val="00572587"/>
    <w:rsid w:val="0057352F"/>
    <w:rsid w:val="005737A3"/>
    <w:rsid w:val="00574E57"/>
    <w:rsid w:val="005751E4"/>
    <w:rsid w:val="005760DC"/>
    <w:rsid w:val="00576341"/>
    <w:rsid w:val="00576A24"/>
    <w:rsid w:val="00577113"/>
    <w:rsid w:val="00580949"/>
    <w:rsid w:val="00580CB1"/>
    <w:rsid w:val="0058227C"/>
    <w:rsid w:val="0058274D"/>
    <w:rsid w:val="00582A0A"/>
    <w:rsid w:val="00582C7B"/>
    <w:rsid w:val="00582E63"/>
    <w:rsid w:val="005834A4"/>
    <w:rsid w:val="005840DF"/>
    <w:rsid w:val="00584345"/>
    <w:rsid w:val="00584755"/>
    <w:rsid w:val="0058586E"/>
    <w:rsid w:val="00586346"/>
    <w:rsid w:val="00586577"/>
    <w:rsid w:val="00587B34"/>
    <w:rsid w:val="00587B4A"/>
    <w:rsid w:val="00590344"/>
    <w:rsid w:val="0059078A"/>
    <w:rsid w:val="005907C2"/>
    <w:rsid w:val="00590803"/>
    <w:rsid w:val="00590B02"/>
    <w:rsid w:val="00593E93"/>
    <w:rsid w:val="00594C7D"/>
    <w:rsid w:val="00595249"/>
    <w:rsid w:val="005959BE"/>
    <w:rsid w:val="005960C4"/>
    <w:rsid w:val="0059686B"/>
    <w:rsid w:val="00596B37"/>
    <w:rsid w:val="005974A6"/>
    <w:rsid w:val="005A00BD"/>
    <w:rsid w:val="005A02BA"/>
    <w:rsid w:val="005A1121"/>
    <w:rsid w:val="005A1712"/>
    <w:rsid w:val="005A4374"/>
    <w:rsid w:val="005A4A46"/>
    <w:rsid w:val="005A51E1"/>
    <w:rsid w:val="005A5C14"/>
    <w:rsid w:val="005A5C3E"/>
    <w:rsid w:val="005A665F"/>
    <w:rsid w:val="005A6CF2"/>
    <w:rsid w:val="005A6D79"/>
    <w:rsid w:val="005A6FCA"/>
    <w:rsid w:val="005A74EE"/>
    <w:rsid w:val="005A7855"/>
    <w:rsid w:val="005B002C"/>
    <w:rsid w:val="005B00E7"/>
    <w:rsid w:val="005B06E7"/>
    <w:rsid w:val="005B0707"/>
    <w:rsid w:val="005B084E"/>
    <w:rsid w:val="005B1217"/>
    <w:rsid w:val="005B2750"/>
    <w:rsid w:val="005B2956"/>
    <w:rsid w:val="005B2CA5"/>
    <w:rsid w:val="005B2F50"/>
    <w:rsid w:val="005B3804"/>
    <w:rsid w:val="005B40EA"/>
    <w:rsid w:val="005B62F2"/>
    <w:rsid w:val="005B6544"/>
    <w:rsid w:val="005B67FF"/>
    <w:rsid w:val="005B692A"/>
    <w:rsid w:val="005B6CFD"/>
    <w:rsid w:val="005B709B"/>
    <w:rsid w:val="005B7228"/>
    <w:rsid w:val="005C03D4"/>
    <w:rsid w:val="005C05E8"/>
    <w:rsid w:val="005C0D07"/>
    <w:rsid w:val="005C3891"/>
    <w:rsid w:val="005C38E2"/>
    <w:rsid w:val="005C5731"/>
    <w:rsid w:val="005C5EDD"/>
    <w:rsid w:val="005C6454"/>
    <w:rsid w:val="005C6BE3"/>
    <w:rsid w:val="005C6C4A"/>
    <w:rsid w:val="005C7016"/>
    <w:rsid w:val="005C74EF"/>
    <w:rsid w:val="005D0708"/>
    <w:rsid w:val="005D103B"/>
    <w:rsid w:val="005D1F0A"/>
    <w:rsid w:val="005D2F00"/>
    <w:rsid w:val="005D32E7"/>
    <w:rsid w:val="005D37F3"/>
    <w:rsid w:val="005D3892"/>
    <w:rsid w:val="005D3B52"/>
    <w:rsid w:val="005D4954"/>
    <w:rsid w:val="005D6247"/>
    <w:rsid w:val="005D6846"/>
    <w:rsid w:val="005D6C67"/>
    <w:rsid w:val="005D6E90"/>
    <w:rsid w:val="005D6FC4"/>
    <w:rsid w:val="005D77EB"/>
    <w:rsid w:val="005D78A3"/>
    <w:rsid w:val="005D7A00"/>
    <w:rsid w:val="005D7A81"/>
    <w:rsid w:val="005E07FA"/>
    <w:rsid w:val="005E0AE2"/>
    <w:rsid w:val="005E0CC3"/>
    <w:rsid w:val="005E2D31"/>
    <w:rsid w:val="005E386B"/>
    <w:rsid w:val="005E3F95"/>
    <w:rsid w:val="005E49D8"/>
    <w:rsid w:val="005E517A"/>
    <w:rsid w:val="005E721B"/>
    <w:rsid w:val="005E783C"/>
    <w:rsid w:val="005F196A"/>
    <w:rsid w:val="005F20A0"/>
    <w:rsid w:val="005F2668"/>
    <w:rsid w:val="005F2B3D"/>
    <w:rsid w:val="005F301E"/>
    <w:rsid w:val="005F391B"/>
    <w:rsid w:val="005F40BF"/>
    <w:rsid w:val="005F467C"/>
    <w:rsid w:val="005F53AF"/>
    <w:rsid w:val="005F7366"/>
    <w:rsid w:val="005F74BF"/>
    <w:rsid w:val="005F7727"/>
    <w:rsid w:val="005F7A0D"/>
    <w:rsid w:val="005F7A7A"/>
    <w:rsid w:val="00600E03"/>
    <w:rsid w:val="00600E37"/>
    <w:rsid w:val="00601071"/>
    <w:rsid w:val="0060182A"/>
    <w:rsid w:val="00601899"/>
    <w:rsid w:val="006027BE"/>
    <w:rsid w:val="006037D0"/>
    <w:rsid w:val="00603CE0"/>
    <w:rsid w:val="00604C49"/>
    <w:rsid w:val="006073D6"/>
    <w:rsid w:val="00607B1D"/>
    <w:rsid w:val="00607D55"/>
    <w:rsid w:val="00610FF2"/>
    <w:rsid w:val="00611016"/>
    <w:rsid w:val="006128F0"/>
    <w:rsid w:val="00612C4E"/>
    <w:rsid w:val="00612CAA"/>
    <w:rsid w:val="00612EE4"/>
    <w:rsid w:val="0061350D"/>
    <w:rsid w:val="00614C94"/>
    <w:rsid w:val="00615015"/>
    <w:rsid w:val="0061526A"/>
    <w:rsid w:val="006165A9"/>
    <w:rsid w:val="00616D19"/>
    <w:rsid w:val="006174C9"/>
    <w:rsid w:val="00617841"/>
    <w:rsid w:val="00617CAB"/>
    <w:rsid w:val="0062055C"/>
    <w:rsid w:val="00620677"/>
    <w:rsid w:val="00621980"/>
    <w:rsid w:val="00622EBD"/>
    <w:rsid w:val="006231CA"/>
    <w:rsid w:val="00624AFC"/>
    <w:rsid w:val="00625028"/>
    <w:rsid w:val="00625AAB"/>
    <w:rsid w:val="00625EE8"/>
    <w:rsid w:val="0062611A"/>
    <w:rsid w:val="00626133"/>
    <w:rsid w:val="00626E85"/>
    <w:rsid w:val="00626F64"/>
    <w:rsid w:val="00627A86"/>
    <w:rsid w:val="0063090A"/>
    <w:rsid w:val="00630C59"/>
    <w:rsid w:val="0063187C"/>
    <w:rsid w:val="00631A0F"/>
    <w:rsid w:val="00631B41"/>
    <w:rsid w:val="00632752"/>
    <w:rsid w:val="00633226"/>
    <w:rsid w:val="006334D9"/>
    <w:rsid w:val="006347C7"/>
    <w:rsid w:val="00636249"/>
    <w:rsid w:val="006374C8"/>
    <w:rsid w:val="00637683"/>
    <w:rsid w:val="0064040E"/>
    <w:rsid w:val="006413EC"/>
    <w:rsid w:val="006414E5"/>
    <w:rsid w:val="006415BB"/>
    <w:rsid w:val="006419E7"/>
    <w:rsid w:val="00644BE6"/>
    <w:rsid w:val="00644E57"/>
    <w:rsid w:val="006456C2"/>
    <w:rsid w:val="00645D22"/>
    <w:rsid w:val="00647C1B"/>
    <w:rsid w:val="00650A5D"/>
    <w:rsid w:val="00650BF5"/>
    <w:rsid w:val="006517CE"/>
    <w:rsid w:val="006521BA"/>
    <w:rsid w:val="00652AD4"/>
    <w:rsid w:val="00653021"/>
    <w:rsid w:val="00653201"/>
    <w:rsid w:val="00653671"/>
    <w:rsid w:val="00654886"/>
    <w:rsid w:val="00655015"/>
    <w:rsid w:val="00655A94"/>
    <w:rsid w:val="00655D55"/>
    <w:rsid w:val="006567EA"/>
    <w:rsid w:val="0066053C"/>
    <w:rsid w:val="00660A55"/>
    <w:rsid w:val="00661483"/>
    <w:rsid w:val="006616F2"/>
    <w:rsid w:val="00663438"/>
    <w:rsid w:val="006634A8"/>
    <w:rsid w:val="00663EC7"/>
    <w:rsid w:val="00664065"/>
    <w:rsid w:val="006640A3"/>
    <w:rsid w:val="0066428E"/>
    <w:rsid w:val="00664604"/>
    <w:rsid w:val="00664BC6"/>
    <w:rsid w:val="00664EE3"/>
    <w:rsid w:val="00664F47"/>
    <w:rsid w:val="00665DED"/>
    <w:rsid w:val="006663D0"/>
    <w:rsid w:val="00666415"/>
    <w:rsid w:val="0066690A"/>
    <w:rsid w:val="00666D71"/>
    <w:rsid w:val="0067027D"/>
    <w:rsid w:val="0067029F"/>
    <w:rsid w:val="006713F0"/>
    <w:rsid w:val="00672539"/>
    <w:rsid w:val="00672C67"/>
    <w:rsid w:val="00672E5B"/>
    <w:rsid w:val="0067387C"/>
    <w:rsid w:val="00674086"/>
    <w:rsid w:val="00674637"/>
    <w:rsid w:val="00674DF4"/>
    <w:rsid w:val="00674F7C"/>
    <w:rsid w:val="00676002"/>
    <w:rsid w:val="0067643C"/>
    <w:rsid w:val="00676903"/>
    <w:rsid w:val="00676DAA"/>
    <w:rsid w:val="0067720A"/>
    <w:rsid w:val="00677557"/>
    <w:rsid w:val="00677EEA"/>
    <w:rsid w:val="006800FC"/>
    <w:rsid w:val="00680F3F"/>
    <w:rsid w:val="006811BF"/>
    <w:rsid w:val="006815A4"/>
    <w:rsid w:val="00681756"/>
    <w:rsid w:val="006817C3"/>
    <w:rsid w:val="00681852"/>
    <w:rsid w:val="00683087"/>
    <w:rsid w:val="00684A34"/>
    <w:rsid w:val="00684AD2"/>
    <w:rsid w:val="00685267"/>
    <w:rsid w:val="0068616B"/>
    <w:rsid w:val="00686538"/>
    <w:rsid w:val="00686B70"/>
    <w:rsid w:val="00690076"/>
    <w:rsid w:val="006901A9"/>
    <w:rsid w:val="006914F6"/>
    <w:rsid w:val="00691A46"/>
    <w:rsid w:val="00692B29"/>
    <w:rsid w:val="00693CC1"/>
    <w:rsid w:val="006957BC"/>
    <w:rsid w:val="00695C05"/>
    <w:rsid w:val="0069778F"/>
    <w:rsid w:val="006A0042"/>
    <w:rsid w:val="006A2520"/>
    <w:rsid w:val="006A27D1"/>
    <w:rsid w:val="006A32B9"/>
    <w:rsid w:val="006A337A"/>
    <w:rsid w:val="006A4AC5"/>
    <w:rsid w:val="006A4FEE"/>
    <w:rsid w:val="006A659D"/>
    <w:rsid w:val="006A6700"/>
    <w:rsid w:val="006A6BC0"/>
    <w:rsid w:val="006A7155"/>
    <w:rsid w:val="006B0BD1"/>
    <w:rsid w:val="006B157D"/>
    <w:rsid w:val="006B172A"/>
    <w:rsid w:val="006B19ED"/>
    <w:rsid w:val="006B29CE"/>
    <w:rsid w:val="006B3EB1"/>
    <w:rsid w:val="006B40ED"/>
    <w:rsid w:val="006B42EE"/>
    <w:rsid w:val="006B467D"/>
    <w:rsid w:val="006B47F5"/>
    <w:rsid w:val="006B5329"/>
    <w:rsid w:val="006B6587"/>
    <w:rsid w:val="006B667B"/>
    <w:rsid w:val="006C11EF"/>
    <w:rsid w:val="006C12FE"/>
    <w:rsid w:val="006C14EA"/>
    <w:rsid w:val="006C1C82"/>
    <w:rsid w:val="006C1F3E"/>
    <w:rsid w:val="006C1F72"/>
    <w:rsid w:val="006C23C4"/>
    <w:rsid w:val="006C2D98"/>
    <w:rsid w:val="006C2FA4"/>
    <w:rsid w:val="006C30A2"/>
    <w:rsid w:val="006C4D2D"/>
    <w:rsid w:val="006C5192"/>
    <w:rsid w:val="006C561A"/>
    <w:rsid w:val="006C583D"/>
    <w:rsid w:val="006C5A3D"/>
    <w:rsid w:val="006C65A3"/>
    <w:rsid w:val="006C6CF7"/>
    <w:rsid w:val="006C76D0"/>
    <w:rsid w:val="006C7867"/>
    <w:rsid w:val="006C7C45"/>
    <w:rsid w:val="006D004D"/>
    <w:rsid w:val="006D02D0"/>
    <w:rsid w:val="006D0F3C"/>
    <w:rsid w:val="006D1106"/>
    <w:rsid w:val="006D116C"/>
    <w:rsid w:val="006D130B"/>
    <w:rsid w:val="006D1A78"/>
    <w:rsid w:val="006D1AD0"/>
    <w:rsid w:val="006D2574"/>
    <w:rsid w:val="006D261F"/>
    <w:rsid w:val="006D2D81"/>
    <w:rsid w:val="006D3CDB"/>
    <w:rsid w:val="006D40E9"/>
    <w:rsid w:val="006D5AFF"/>
    <w:rsid w:val="006D7176"/>
    <w:rsid w:val="006E11EC"/>
    <w:rsid w:val="006E15A3"/>
    <w:rsid w:val="006E164F"/>
    <w:rsid w:val="006E1D19"/>
    <w:rsid w:val="006E26A5"/>
    <w:rsid w:val="006E375C"/>
    <w:rsid w:val="006E4C1C"/>
    <w:rsid w:val="006E4F2B"/>
    <w:rsid w:val="006E5C3C"/>
    <w:rsid w:val="006E655D"/>
    <w:rsid w:val="006E6D1B"/>
    <w:rsid w:val="006F05B6"/>
    <w:rsid w:val="006F0B69"/>
    <w:rsid w:val="006F0C34"/>
    <w:rsid w:val="006F0D7F"/>
    <w:rsid w:val="006F0D98"/>
    <w:rsid w:val="006F226C"/>
    <w:rsid w:val="006F3159"/>
    <w:rsid w:val="006F32CC"/>
    <w:rsid w:val="006F4269"/>
    <w:rsid w:val="006F42C4"/>
    <w:rsid w:val="006F438C"/>
    <w:rsid w:val="006F47F5"/>
    <w:rsid w:val="006F4BAA"/>
    <w:rsid w:val="006F4F6C"/>
    <w:rsid w:val="006F600A"/>
    <w:rsid w:val="006F60F1"/>
    <w:rsid w:val="006F6DCB"/>
    <w:rsid w:val="006F7972"/>
    <w:rsid w:val="0070022B"/>
    <w:rsid w:val="00700A9A"/>
    <w:rsid w:val="00700BD3"/>
    <w:rsid w:val="00701064"/>
    <w:rsid w:val="0070260B"/>
    <w:rsid w:val="00702CB6"/>
    <w:rsid w:val="00703588"/>
    <w:rsid w:val="00704272"/>
    <w:rsid w:val="0070436C"/>
    <w:rsid w:val="00704BEF"/>
    <w:rsid w:val="00704EA0"/>
    <w:rsid w:val="00704FD7"/>
    <w:rsid w:val="00705A64"/>
    <w:rsid w:val="007069DA"/>
    <w:rsid w:val="00706EA0"/>
    <w:rsid w:val="00707EB3"/>
    <w:rsid w:val="0071071B"/>
    <w:rsid w:val="00711D33"/>
    <w:rsid w:val="00712674"/>
    <w:rsid w:val="0071269F"/>
    <w:rsid w:val="007132B7"/>
    <w:rsid w:val="007133CA"/>
    <w:rsid w:val="00713AE8"/>
    <w:rsid w:val="007150AF"/>
    <w:rsid w:val="00715995"/>
    <w:rsid w:val="0071609F"/>
    <w:rsid w:val="00716241"/>
    <w:rsid w:val="00716386"/>
    <w:rsid w:val="00716DE7"/>
    <w:rsid w:val="0071725B"/>
    <w:rsid w:val="00717D51"/>
    <w:rsid w:val="007200AF"/>
    <w:rsid w:val="00720C6A"/>
    <w:rsid w:val="00720DD5"/>
    <w:rsid w:val="00721207"/>
    <w:rsid w:val="00721613"/>
    <w:rsid w:val="0072184F"/>
    <w:rsid w:val="00724563"/>
    <w:rsid w:val="00725944"/>
    <w:rsid w:val="007259B5"/>
    <w:rsid w:val="00726661"/>
    <w:rsid w:val="00726958"/>
    <w:rsid w:val="0072754F"/>
    <w:rsid w:val="00727904"/>
    <w:rsid w:val="00730402"/>
    <w:rsid w:val="0073060D"/>
    <w:rsid w:val="00730A2D"/>
    <w:rsid w:val="00730AAF"/>
    <w:rsid w:val="00730E44"/>
    <w:rsid w:val="00733424"/>
    <w:rsid w:val="007341E6"/>
    <w:rsid w:val="00734A68"/>
    <w:rsid w:val="00734FEF"/>
    <w:rsid w:val="007350B6"/>
    <w:rsid w:val="0073535E"/>
    <w:rsid w:val="00737542"/>
    <w:rsid w:val="00737698"/>
    <w:rsid w:val="007379D0"/>
    <w:rsid w:val="00740324"/>
    <w:rsid w:val="00740839"/>
    <w:rsid w:val="007410E3"/>
    <w:rsid w:val="00741EA8"/>
    <w:rsid w:val="00743F5D"/>
    <w:rsid w:val="00744225"/>
    <w:rsid w:val="00745603"/>
    <w:rsid w:val="00745938"/>
    <w:rsid w:val="00746870"/>
    <w:rsid w:val="00746B14"/>
    <w:rsid w:val="00747819"/>
    <w:rsid w:val="00747834"/>
    <w:rsid w:val="00747CC9"/>
    <w:rsid w:val="0075025C"/>
    <w:rsid w:val="00750378"/>
    <w:rsid w:val="00750884"/>
    <w:rsid w:val="007514C3"/>
    <w:rsid w:val="00751E5F"/>
    <w:rsid w:val="00752C68"/>
    <w:rsid w:val="007539DA"/>
    <w:rsid w:val="00754166"/>
    <w:rsid w:val="00754596"/>
    <w:rsid w:val="00754982"/>
    <w:rsid w:val="00754BA1"/>
    <w:rsid w:val="007557A2"/>
    <w:rsid w:val="00756CA5"/>
    <w:rsid w:val="0075717C"/>
    <w:rsid w:val="007575A1"/>
    <w:rsid w:val="00760700"/>
    <w:rsid w:val="00760BC0"/>
    <w:rsid w:val="00760FD9"/>
    <w:rsid w:val="007617D4"/>
    <w:rsid w:val="00762DD6"/>
    <w:rsid w:val="007636CD"/>
    <w:rsid w:val="00763F9C"/>
    <w:rsid w:val="00764230"/>
    <w:rsid w:val="00764392"/>
    <w:rsid w:val="00764B5E"/>
    <w:rsid w:val="00764E2D"/>
    <w:rsid w:val="00765619"/>
    <w:rsid w:val="00765924"/>
    <w:rsid w:val="007664A6"/>
    <w:rsid w:val="00766646"/>
    <w:rsid w:val="00767D97"/>
    <w:rsid w:val="00771444"/>
    <w:rsid w:val="00771A87"/>
    <w:rsid w:val="00771AB1"/>
    <w:rsid w:val="00771FE1"/>
    <w:rsid w:val="007724D9"/>
    <w:rsid w:val="0077286C"/>
    <w:rsid w:val="00772AA3"/>
    <w:rsid w:val="00772FA4"/>
    <w:rsid w:val="007730A6"/>
    <w:rsid w:val="0077351A"/>
    <w:rsid w:val="007740DB"/>
    <w:rsid w:val="00775941"/>
    <w:rsid w:val="00776510"/>
    <w:rsid w:val="0077689A"/>
    <w:rsid w:val="007775B6"/>
    <w:rsid w:val="00777BD4"/>
    <w:rsid w:val="00780464"/>
    <w:rsid w:val="007807A2"/>
    <w:rsid w:val="00780CA7"/>
    <w:rsid w:val="00781360"/>
    <w:rsid w:val="0078164A"/>
    <w:rsid w:val="00781E15"/>
    <w:rsid w:val="00782991"/>
    <w:rsid w:val="00783B5C"/>
    <w:rsid w:val="007842EA"/>
    <w:rsid w:val="007850BF"/>
    <w:rsid w:val="007850C2"/>
    <w:rsid w:val="00785228"/>
    <w:rsid w:val="00785909"/>
    <w:rsid w:val="007864BA"/>
    <w:rsid w:val="00786B4A"/>
    <w:rsid w:val="00786B66"/>
    <w:rsid w:val="007872D2"/>
    <w:rsid w:val="00790AF2"/>
    <w:rsid w:val="0079192A"/>
    <w:rsid w:val="00793684"/>
    <w:rsid w:val="0079399F"/>
    <w:rsid w:val="00794E99"/>
    <w:rsid w:val="0079652E"/>
    <w:rsid w:val="00796631"/>
    <w:rsid w:val="007974E7"/>
    <w:rsid w:val="0079755F"/>
    <w:rsid w:val="00797593"/>
    <w:rsid w:val="00797E49"/>
    <w:rsid w:val="00797FC7"/>
    <w:rsid w:val="007A0FCB"/>
    <w:rsid w:val="007A149E"/>
    <w:rsid w:val="007A2186"/>
    <w:rsid w:val="007A29D7"/>
    <w:rsid w:val="007A2B44"/>
    <w:rsid w:val="007A2D54"/>
    <w:rsid w:val="007A3451"/>
    <w:rsid w:val="007A3B31"/>
    <w:rsid w:val="007A4229"/>
    <w:rsid w:val="007A4498"/>
    <w:rsid w:val="007A4793"/>
    <w:rsid w:val="007A548C"/>
    <w:rsid w:val="007A55A4"/>
    <w:rsid w:val="007A60E9"/>
    <w:rsid w:val="007B00A7"/>
    <w:rsid w:val="007B0245"/>
    <w:rsid w:val="007B0374"/>
    <w:rsid w:val="007B0852"/>
    <w:rsid w:val="007B0861"/>
    <w:rsid w:val="007B1011"/>
    <w:rsid w:val="007B1D11"/>
    <w:rsid w:val="007B205A"/>
    <w:rsid w:val="007B2120"/>
    <w:rsid w:val="007B2E4D"/>
    <w:rsid w:val="007B347B"/>
    <w:rsid w:val="007B4006"/>
    <w:rsid w:val="007B4368"/>
    <w:rsid w:val="007B4388"/>
    <w:rsid w:val="007B5D57"/>
    <w:rsid w:val="007B5E57"/>
    <w:rsid w:val="007B6EA6"/>
    <w:rsid w:val="007B7C21"/>
    <w:rsid w:val="007C071F"/>
    <w:rsid w:val="007C1165"/>
    <w:rsid w:val="007C1A9C"/>
    <w:rsid w:val="007C232E"/>
    <w:rsid w:val="007C2893"/>
    <w:rsid w:val="007C2A3B"/>
    <w:rsid w:val="007C2B46"/>
    <w:rsid w:val="007C3DF1"/>
    <w:rsid w:val="007C4472"/>
    <w:rsid w:val="007C48A5"/>
    <w:rsid w:val="007C48B8"/>
    <w:rsid w:val="007C5C8F"/>
    <w:rsid w:val="007C7242"/>
    <w:rsid w:val="007C7B39"/>
    <w:rsid w:val="007D1A63"/>
    <w:rsid w:val="007D2207"/>
    <w:rsid w:val="007D2443"/>
    <w:rsid w:val="007D260F"/>
    <w:rsid w:val="007D3673"/>
    <w:rsid w:val="007D3CB2"/>
    <w:rsid w:val="007D403C"/>
    <w:rsid w:val="007D4F79"/>
    <w:rsid w:val="007D6143"/>
    <w:rsid w:val="007E00A4"/>
    <w:rsid w:val="007E1144"/>
    <w:rsid w:val="007E1983"/>
    <w:rsid w:val="007E27A4"/>
    <w:rsid w:val="007E2F33"/>
    <w:rsid w:val="007E313A"/>
    <w:rsid w:val="007E4991"/>
    <w:rsid w:val="007E4E4F"/>
    <w:rsid w:val="007E5760"/>
    <w:rsid w:val="007E5C7B"/>
    <w:rsid w:val="007E5F13"/>
    <w:rsid w:val="007E6A09"/>
    <w:rsid w:val="007E78B7"/>
    <w:rsid w:val="007F0744"/>
    <w:rsid w:val="007F1BEB"/>
    <w:rsid w:val="007F2233"/>
    <w:rsid w:val="007F2BC1"/>
    <w:rsid w:val="007F3A6D"/>
    <w:rsid w:val="007F51A9"/>
    <w:rsid w:val="007F65CB"/>
    <w:rsid w:val="007F69D7"/>
    <w:rsid w:val="007F7B3B"/>
    <w:rsid w:val="00800EEB"/>
    <w:rsid w:val="008015A9"/>
    <w:rsid w:val="008016C9"/>
    <w:rsid w:val="00802D0C"/>
    <w:rsid w:val="00804821"/>
    <w:rsid w:val="00804996"/>
    <w:rsid w:val="00805938"/>
    <w:rsid w:val="00805B5F"/>
    <w:rsid w:val="00806D92"/>
    <w:rsid w:val="0080769B"/>
    <w:rsid w:val="00810D12"/>
    <w:rsid w:val="008115E5"/>
    <w:rsid w:val="00812401"/>
    <w:rsid w:val="0081319D"/>
    <w:rsid w:val="0081347A"/>
    <w:rsid w:val="00813B52"/>
    <w:rsid w:val="00814723"/>
    <w:rsid w:val="00814BDA"/>
    <w:rsid w:val="00816255"/>
    <w:rsid w:val="008162CC"/>
    <w:rsid w:val="00816FEC"/>
    <w:rsid w:val="00817AF5"/>
    <w:rsid w:val="008204BC"/>
    <w:rsid w:val="0082154E"/>
    <w:rsid w:val="00822FC4"/>
    <w:rsid w:val="0082462C"/>
    <w:rsid w:val="008247B4"/>
    <w:rsid w:val="00824BEF"/>
    <w:rsid w:val="00825324"/>
    <w:rsid w:val="00826739"/>
    <w:rsid w:val="00827085"/>
    <w:rsid w:val="008305A9"/>
    <w:rsid w:val="00830C92"/>
    <w:rsid w:val="008343AB"/>
    <w:rsid w:val="00834563"/>
    <w:rsid w:val="008353AD"/>
    <w:rsid w:val="00835461"/>
    <w:rsid w:val="00835BA1"/>
    <w:rsid w:val="0083694D"/>
    <w:rsid w:val="008369CB"/>
    <w:rsid w:val="0083768C"/>
    <w:rsid w:val="0083787D"/>
    <w:rsid w:val="00837F47"/>
    <w:rsid w:val="00840B80"/>
    <w:rsid w:val="00841619"/>
    <w:rsid w:val="0084165C"/>
    <w:rsid w:val="00841711"/>
    <w:rsid w:val="00841E17"/>
    <w:rsid w:val="00842C35"/>
    <w:rsid w:val="008431D6"/>
    <w:rsid w:val="00843721"/>
    <w:rsid w:val="00844D25"/>
    <w:rsid w:val="008453DE"/>
    <w:rsid w:val="00846692"/>
    <w:rsid w:val="0084694A"/>
    <w:rsid w:val="00846D64"/>
    <w:rsid w:val="00846D85"/>
    <w:rsid w:val="0084743B"/>
    <w:rsid w:val="008475BB"/>
    <w:rsid w:val="00847905"/>
    <w:rsid w:val="008515ED"/>
    <w:rsid w:val="00852E23"/>
    <w:rsid w:val="00854130"/>
    <w:rsid w:val="00854ABD"/>
    <w:rsid w:val="008554EE"/>
    <w:rsid w:val="0085595A"/>
    <w:rsid w:val="00855CAB"/>
    <w:rsid w:val="00855CC4"/>
    <w:rsid w:val="00855E69"/>
    <w:rsid w:val="00856447"/>
    <w:rsid w:val="008565BB"/>
    <w:rsid w:val="00856820"/>
    <w:rsid w:val="008569B5"/>
    <w:rsid w:val="00860B65"/>
    <w:rsid w:val="00860C1A"/>
    <w:rsid w:val="00860FD6"/>
    <w:rsid w:val="008623BB"/>
    <w:rsid w:val="0086326E"/>
    <w:rsid w:val="0086383E"/>
    <w:rsid w:val="00863969"/>
    <w:rsid w:val="0086436F"/>
    <w:rsid w:val="00864A4F"/>
    <w:rsid w:val="00865124"/>
    <w:rsid w:val="008658F1"/>
    <w:rsid w:val="0086679E"/>
    <w:rsid w:val="00866F89"/>
    <w:rsid w:val="008676C5"/>
    <w:rsid w:val="00867766"/>
    <w:rsid w:val="00870FC8"/>
    <w:rsid w:val="0087112C"/>
    <w:rsid w:val="0087176B"/>
    <w:rsid w:val="00872655"/>
    <w:rsid w:val="008734B5"/>
    <w:rsid w:val="00873D72"/>
    <w:rsid w:val="0087422F"/>
    <w:rsid w:val="008747E0"/>
    <w:rsid w:val="008749C2"/>
    <w:rsid w:val="008749D8"/>
    <w:rsid w:val="00875CEF"/>
    <w:rsid w:val="00876011"/>
    <w:rsid w:val="00876419"/>
    <w:rsid w:val="00876421"/>
    <w:rsid w:val="0087651A"/>
    <w:rsid w:val="0087668A"/>
    <w:rsid w:val="00880017"/>
    <w:rsid w:val="00881B23"/>
    <w:rsid w:val="00882383"/>
    <w:rsid w:val="00882722"/>
    <w:rsid w:val="0088272C"/>
    <w:rsid w:val="008827E6"/>
    <w:rsid w:val="00882987"/>
    <w:rsid w:val="00882B38"/>
    <w:rsid w:val="00882DF1"/>
    <w:rsid w:val="00883138"/>
    <w:rsid w:val="00884CFC"/>
    <w:rsid w:val="00885BF8"/>
    <w:rsid w:val="00886087"/>
    <w:rsid w:val="00886EFD"/>
    <w:rsid w:val="00886FC1"/>
    <w:rsid w:val="00890B54"/>
    <w:rsid w:val="0089478F"/>
    <w:rsid w:val="008947A1"/>
    <w:rsid w:val="00894A65"/>
    <w:rsid w:val="00894E56"/>
    <w:rsid w:val="0089502D"/>
    <w:rsid w:val="00896050"/>
    <w:rsid w:val="008962F1"/>
    <w:rsid w:val="00896E02"/>
    <w:rsid w:val="00896E76"/>
    <w:rsid w:val="00897785"/>
    <w:rsid w:val="008A199E"/>
    <w:rsid w:val="008A21B2"/>
    <w:rsid w:val="008A41B1"/>
    <w:rsid w:val="008A4348"/>
    <w:rsid w:val="008A54AE"/>
    <w:rsid w:val="008A6CF8"/>
    <w:rsid w:val="008A77C5"/>
    <w:rsid w:val="008B0FE0"/>
    <w:rsid w:val="008B209B"/>
    <w:rsid w:val="008B2F2E"/>
    <w:rsid w:val="008B3CDB"/>
    <w:rsid w:val="008B3FEA"/>
    <w:rsid w:val="008B443E"/>
    <w:rsid w:val="008B53AC"/>
    <w:rsid w:val="008B5412"/>
    <w:rsid w:val="008B5E38"/>
    <w:rsid w:val="008B6AFD"/>
    <w:rsid w:val="008B737D"/>
    <w:rsid w:val="008B7FD5"/>
    <w:rsid w:val="008C039D"/>
    <w:rsid w:val="008C1196"/>
    <w:rsid w:val="008C144F"/>
    <w:rsid w:val="008C1D37"/>
    <w:rsid w:val="008C3943"/>
    <w:rsid w:val="008C3D8A"/>
    <w:rsid w:val="008C4DC9"/>
    <w:rsid w:val="008C5703"/>
    <w:rsid w:val="008C5CA6"/>
    <w:rsid w:val="008C5FA3"/>
    <w:rsid w:val="008C6AC0"/>
    <w:rsid w:val="008C6D98"/>
    <w:rsid w:val="008C7009"/>
    <w:rsid w:val="008C7062"/>
    <w:rsid w:val="008C768F"/>
    <w:rsid w:val="008C79DF"/>
    <w:rsid w:val="008D047B"/>
    <w:rsid w:val="008D0B9A"/>
    <w:rsid w:val="008D14A1"/>
    <w:rsid w:val="008D1850"/>
    <w:rsid w:val="008D35B6"/>
    <w:rsid w:val="008D41B9"/>
    <w:rsid w:val="008D5FA8"/>
    <w:rsid w:val="008D6249"/>
    <w:rsid w:val="008D72F6"/>
    <w:rsid w:val="008E028E"/>
    <w:rsid w:val="008E10B7"/>
    <w:rsid w:val="008E1CBB"/>
    <w:rsid w:val="008E2339"/>
    <w:rsid w:val="008E2430"/>
    <w:rsid w:val="008E2E66"/>
    <w:rsid w:val="008E3100"/>
    <w:rsid w:val="008E33BB"/>
    <w:rsid w:val="008E3709"/>
    <w:rsid w:val="008E4F53"/>
    <w:rsid w:val="008E54A3"/>
    <w:rsid w:val="008E5BBE"/>
    <w:rsid w:val="008E614C"/>
    <w:rsid w:val="008E65A7"/>
    <w:rsid w:val="008E73F0"/>
    <w:rsid w:val="008E76FA"/>
    <w:rsid w:val="008F164C"/>
    <w:rsid w:val="008F18A7"/>
    <w:rsid w:val="008F1DE1"/>
    <w:rsid w:val="008F309B"/>
    <w:rsid w:val="008F4027"/>
    <w:rsid w:val="008F43CD"/>
    <w:rsid w:val="008F449B"/>
    <w:rsid w:val="008F4F16"/>
    <w:rsid w:val="009001A6"/>
    <w:rsid w:val="009007F8"/>
    <w:rsid w:val="0090153F"/>
    <w:rsid w:val="00901661"/>
    <w:rsid w:val="00902143"/>
    <w:rsid w:val="009024F5"/>
    <w:rsid w:val="00902791"/>
    <w:rsid w:val="009041FE"/>
    <w:rsid w:val="009044EB"/>
    <w:rsid w:val="0090729B"/>
    <w:rsid w:val="009072A7"/>
    <w:rsid w:val="00907460"/>
    <w:rsid w:val="00910167"/>
    <w:rsid w:val="00910715"/>
    <w:rsid w:val="0091071F"/>
    <w:rsid w:val="009115DD"/>
    <w:rsid w:val="00912088"/>
    <w:rsid w:val="00912BEC"/>
    <w:rsid w:val="009135D0"/>
    <w:rsid w:val="0091414D"/>
    <w:rsid w:val="00914BD8"/>
    <w:rsid w:val="00914D13"/>
    <w:rsid w:val="009167D2"/>
    <w:rsid w:val="00916F08"/>
    <w:rsid w:val="009176D7"/>
    <w:rsid w:val="00917A0B"/>
    <w:rsid w:val="0092093E"/>
    <w:rsid w:val="00921BFC"/>
    <w:rsid w:val="00921E32"/>
    <w:rsid w:val="00921F40"/>
    <w:rsid w:val="00922D3F"/>
    <w:rsid w:val="00922EB4"/>
    <w:rsid w:val="009230FA"/>
    <w:rsid w:val="00924FDD"/>
    <w:rsid w:val="009250CD"/>
    <w:rsid w:val="00926A06"/>
    <w:rsid w:val="00926A95"/>
    <w:rsid w:val="009307FB"/>
    <w:rsid w:val="009309F7"/>
    <w:rsid w:val="009315BD"/>
    <w:rsid w:val="0093212A"/>
    <w:rsid w:val="00932838"/>
    <w:rsid w:val="00932B0E"/>
    <w:rsid w:val="0093312D"/>
    <w:rsid w:val="00933913"/>
    <w:rsid w:val="00934057"/>
    <w:rsid w:val="00934361"/>
    <w:rsid w:val="0093459B"/>
    <w:rsid w:val="00934A25"/>
    <w:rsid w:val="00935F0D"/>
    <w:rsid w:val="00936098"/>
    <w:rsid w:val="00936606"/>
    <w:rsid w:val="009378DE"/>
    <w:rsid w:val="009405AF"/>
    <w:rsid w:val="0094160F"/>
    <w:rsid w:val="00941713"/>
    <w:rsid w:val="00942B8E"/>
    <w:rsid w:val="00943900"/>
    <w:rsid w:val="00943A8C"/>
    <w:rsid w:val="00944D75"/>
    <w:rsid w:val="00946EEE"/>
    <w:rsid w:val="00946F41"/>
    <w:rsid w:val="009473F0"/>
    <w:rsid w:val="00950530"/>
    <w:rsid w:val="00950626"/>
    <w:rsid w:val="00950D05"/>
    <w:rsid w:val="00950EAE"/>
    <w:rsid w:val="00953C76"/>
    <w:rsid w:val="00953EFA"/>
    <w:rsid w:val="00954E51"/>
    <w:rsid w:val="00956208"/>
    <w:rsid w:val="00956307"/>
    <w:rsid w:val="00956C26"/>
    <w:rsid w:val="00957008"/>
    <w:rsid w:val="00957A89"/>
    <w:rsid w:val="009622F1"/>
    <w:rsid w:val="00962BAD"/>
    <w:rsid w:val="00963148"/>
    <w:rsid w:val="00963EE1"/>
    <w:rsid w:val="009647B0"/>
    <w:rsid w:val="00964D59"/>
    <w:rsid w:val="00964FA5"/>
    <w:rsid w:val="009659F9"/>
    <w:rsid w:val="0096603E"/>
    <w:rsid w:val="0096635F"/>
    <w:rsid w:val="00966B86"/>
    <w:rsid w:val="0096754E"/>
    <w:rsid w:val="00967C30"/>
    <w:rsid w:val="00971321"/>
    <w:rsid w:val="00973065"/>
    <w:rsid w:val="00973A12"/>
    <w:rsid w:val="00973B23"/>
    <w:rsid w:val="009743C0"/>
    <w:rsid w:val="00974DCD"/>
    <w:rsid w:val="009754F7"/>
    <w:rsid w:val="00975AF1"/>
    <w:rsid w:val="00975F0D"/>
    <w:rsid w:val="009762C9"/>
    <w:rsid w:val="0097663D"/>
    <w:rsid w:val="00976DEE"/>
    <w:rsid w:val="00977201"/>
    <w:rsid w:val="009773F8"/>
    <w:rsid w:val="0098020F"/>
    <w:rsid w:val="00980C23"/>
    <w:rsid w:val="009819C6"/>
    <w:rsid w:val="00981C70"/>
    <w:rsid w:val="00982D60"/>
    <w:rsid w:val="00982E8B"/>
    <w:rsid w:val="009842B3"/>
    <w:rsid w:val="00984A99"/>
    <w:rsid w:val="009857C0"/>
    <w:rsid w:val="00985BD7"/>
    <w:rsid w:val="0098643B"/>
    <w:rsid w:val="009869B8"/>
    <w:rsid w:val="00986C1C"/>
    <w:rsid w:val="0098713B"/>
    <w:rsid w:val="00990539"/>
    <w:rsid w:val="00990C3E"/>
    <w:rsid w:val="00991002"/>
    <w:rsid w:val="00991304"/>
    <w:rsid w:val="00991614"/>
    <w:rsid w:val="00991979"/>
    <w:rsid w:val="00992FE9"/>
    <w:rsid w:val="00993DCC"/>
    <w:rsid w:val="00995367"/>
    <w:rsid w:val="009965AB"/>
    <w:rsid w:val="0099739B"/>
    <w:rsid w:val="009978FD"/>
    <w:rsid w:val="00997AC0"/>
    <w:rsid w:val="00997FDD"/>
    <w:rsid w:val="009A0751"/>
    <w:rsid w:val="009A1185"/>
    <w:rsid w:val="009A1411"/>
    <w:rsid w:val="009A1D0D"/>
    <w:rsid w:val="009A350D"/>
    <w:rsid w:val="009A36F6"/>
    <w:rsid w:val="009A3F14"/>
    <w:rsid w:val="009A457D"/>
    <w:rsid w:val="009A4FD6"/>
    <w:rsid w:val="009A591E"/>
    <w:rsid w:val="009A66C6"/>
    <w:rsid w:val="009A66EC"/>
    <w:rsid w:val="009A6937"/>
    <w:rsid w:val="009A6A72"/>
    <w:rsid w:val="009A6F70"/>
    <w:rsid w:val="009A6F81"/>
    <w:rsid w:val="009B13B0"/>
    <w:rsid w:val="009B1945"/>
    <w:rsid w:val="009B2C61"/>
    <w:rsid w:val="009B43C0"/>
    <w:rsid w:val="009B4671"/>
    <w:rsid w:val="009B46EC"/>
    <w:rsid w:val="009B49B2"/>
    <w:rsid w:val="009B6066"/>
    <w:rsid w:val="009B60CD"/>
    <w:rsid w:val="009B79A1"/>
    <w:rsid w:val="009C0358"/>
    <w:rsid w:val="009C0668"/>
    <w:rsid w:val="009C0CF5"/>
    <w:rsid w:val="009C0F5F"/>
    <w:rsid w:val="009C32D0"/>
    <w:rsid w:val="009C4535"/>
    <w:rsid w:val="009C5E2D"/>
    <w:rsid w:val="009C62A7"/>
    <w:rsid w:val="009C636D"/>
    <w:rsid w:val="009C643D"/>
    <w:rsid w:val="009C7737"/>
    <w:rsid w:val="009C7FE2"/>
    <w:rsid w:val="009D020B"/>
    <w:rsid w:val="009D0444"/>
    <w:rsid w:val="009D2587"/>
    <w:rsid w:val="009D2764"/>
    <w:rsid w:val="009D2889"/>
    <w:rsid w:val="009D2897"/>
    <w:rsid w:val="009D31A7"/>
    <w:rsid w:val="009D4126"/>
    <w:rsid w:val="009D4ADE"/>
    <w:rsid w:val="009D4EC9"/>
    <w:rsid w:val="009D52E8"/>
    <w:rsid w:val="009D5602"/>
    <w:rsid w:val="009D5918"/>
    <w:rsid w:val="009D5A94"/>
    <w:rsid w:val="009D5B71"/>
    <w:rsid w:val="009D632B"/>
    <w:rsid w:val="009D6545"/>
    <w:rsid w:val="009E0253"/>
    <w:rsid w:val="009E051D"/>
    <w:rsid w:val="009E05C5"/>
    <w:rsid w:val="009E0B5F"/>
    <w:rsid w:val="009E0F9D"/>
    <w:rsid w:val="009E18C6"/>
    <w:rsid w:val="009E31D1"/>
    <w:rsid w:val="009E3E8B"/>
    <w:rsid w:val="009E4B69"/>
    <w:rsid w:val="009E56DB"/>
    <w:rsid w:val="009E5CD6"/>
    <w:rsid w:val="009E6003"/>
    <w:rsid w:val="009E65D1"/>
    <w:rsid w:val="009E74E4"/>
    <w:rsid w:val="009E7615"/>
    <w:rsid w:val="009F0042"/>
    <w:rsid w:val="009F0227"/>
    <w:rsid w:val="009F0377"/>
    <w:rsid w:val="009F168F"/>
    <w:rsid w:val="009F1747"/>
    <w:rsid w:val="009F1DA4"/>
    <w:rsid w:val="009F2320"/>
    <w:rsid w:val="009F282D"/>
    <w:rsid w:val="009F380A"/>
    <w:rsid w:val="009F3936"/>
    <w:rsid w:val="009F4702"/>
    <w:rsid w:val="009F4852"/>
    <w:rsid w:val="009F4A2B"/>
    <w:rsid w:val="009F7250"/>
    <w:rsid w:val="009F749C"/>
    <w:rsid w:val="009F7A9D"/>
    <w:rsid w:val="009F7AE7"/>
    <w:rsid w:val="00A00DE3"/>
    <w:rsid w:val="00A0190E"/>
    <w:rsid w:val="00A01B8A"/>
    <w:rsid w:val="00A01F61"/>
    <w:rsid w:val="00A0269D"/>
    <w:rsid w:val="00A0274F"/>
    <w:rsid w:val="00A035ED"/>
    <w:rsid w:val="00A039AF"/>
    <w:rsid w:val="00A0487A"/>
    <w:rsid w:val="00A05385"/>
    <w:rsid w:val="00A06000"/>
    <w:rsid w:val="00A06544"/>
    <w:rsid w:val="00A06A32"/>
    <w:rsid w:val="00A06E45"/>
    <w:rsid w:val="00A07EAB"/>
    <w:rsid w:val="00A11B44"/>
    <w:rsid w:val="00A13DA0"/>
    <w:rsid w:val="00A140BF"/>
    <w:rsid w:val="00A14415"/>
    <w:rsid w:val="00A147D1"/>
    <w:rsid w:val="00A155EE"/>
    <w:rsid w:val="00A160DC"/>
    <w:rsid w:val="00A16294"/>
    <w:rsid w:val="00A164D3"/>
    <w:rsid w:val="00A16F6B"/>
    <w:rsid w:val="00A1750B"/>
    <w:rsid w:val="00A214C7"/>
    <w:rsid w:val="00A21B4B"/>
    <w:rsid w:val="00A2227B"/>
    <w:rsid w:val="00A235F3"/>
    <w:rsid w:val="00A23B4C"/>
    <w:rsid w:val="00A242A0"/>
    <w:rsid w:val="00A24315"/>
    <w:rsid w:val="00A24473"/>
    <w:rsid w:val="00A2526C"/>
    <w:rsid w:val="00A2628F"/>
    <w:rsid w:val="00A27553"/>
    <w:rsid w:val="00A27F2E"/>
    <w:rsid w:val="00A30462"/>
    <w:rsid w:val="00A309D2"/>
    <w:rsid w:val="00A30C28"/>
    <w:rsid w:val="00A30D62"/>
    <w:rsid w:val="00A31296"/>
    <w:rsid w:val="00A31E3D"/>
    <w:rsid w:val="00A31F8E"/>
    <w:rsid w:val="00A326AA"/>
    <w:rsid w:val="00A32E9B"/>
    <w:rsid w:val="00A3350A"/>
    <w:rsid w:val="00A33FE9"/>
    <w:rsid w:val="00A3605D"/>
    <w:rsid w:val="00A37C7E"/>
    <w:rsid w:val="00A40D76"/>
    <w:rsid w:val="00A41B56"/>
    <w:rsid w:val="00A41C4A"/>
    <w:rsid w:val="00A43AF8"/>
    <w:rsid w:val="00A43E93"/>
    <w:rsid w:val="00A44527"/>
    <w:rsid w:val="00A44C7B"/>
    <w:rsid w:val="00A44E29"/>
    <w:rsid w:val="00A4614B"/>
    <w:rsid w:val="00A46857"/>
    <w:rsid w:val="00A473CF"/>
    <w:rsid w:val="00A47A00"/>
    <w:rsid w:val="00A50154"/>
    <w:rsid w:val="00A504B5"/>
    <w:rsid w:val="00A51416"/>
    <w:rsid w:val="00A52656"/>
    <w:rsid w:val="00A528C5"/>
    <w:rsid w:val="00A53F87"/>
    <w:rsid w:val="00A5513D"/>
    <w:rsid w:val="00A5679D"/>
    <w:rsid w:val="00A5694A"/>
    <w:rsid w:val="00A5761B"/>
    <w:rsid w:val="00A57733"/>
    <w:rsid w:val="00A57EDA"/>
    <w:rsid w:val="00A608A3"/>
    <w:rsid w:val="00A60BD8"/>
    <w:rsid w:val="00A60FCB"/>
    <w:rsid w:val="00A6145D"/>
    <w:rsid w:val="00A61555"/>
    <w:rsid w:val="00A622B3"/>
    <w:rsid w:val="00A62CCB"/>
    <w:rsid w:val="00A63A58"/>
    <w:rsid w:val="00A64C69"/>
    <w:rsid w:val="00A65FB9"/>
    <w:rsid w:val="00A66676"/>
    <w:rsid w:val="00A66B6E"/>
    <w:rsid w:val="00A7053D"/>
    <w:rsid w:val="00A70DB8"/>
    <w:rsid w:val="00A7101C"/>
    <w:rsid w:val="00A71829"/>
    <w:rsid w:val="00A718BD"/>
    <w:rsid w:val="00A72144"/>
    <w:rsid w:val="00A72482"/>
    <w:rsid w:val="00A724D9"/>
    <w:rsid w:val="00A72831"/>
    <w:rsid w:val="00A740BB"/>
    <w:rsid w:val="00A7428A"/>
    <w:rsid w:val="00A7433C"/>
    <w:rsid w:val="00A74488"/>
    <w:rsid w:val="00A74E61"/>
    <w:rsid w:val="00A75A2D"/>
    <w:rsid w:val="00A77542"/>
    <w:rsid w:val="00A7793E"/>
    <w:rsid w:val="00A77B37"/>
    <w:rsid w:val="00A816CD"/>
    <w:rsid w:val="00A81FF5"/>
    <w:rsid w:val="00A822B0"/>
    <w:rsid w:val="00A82C09"/>
    <w:rsid w:val="00A834FB"/>
    <w:rsid w:val="00A83DC4"/>
    <w:rsid w:val="00A83FF2"/>
    <w:rsid w:val="00A8449A"/>
    <w:rsid w:val="00A84EF4"/>
    <w:rsid w:val="00A8525E"/>
    <w:rsid w:val="00A853ED"/>
    <w:rsid w:val="00A860A6"/>
    <w:rsid w:val="00A86150"/>
    <w:rsid w:val="00A864BF"/>
    <w:rsid w:val="00A86A05"/>
    <w:rsid w:val="00A86B03"/>
    <w:rsid w:val="00A87990"/>
    <w:rsid w:val="00A87A4E"/>
    <w:rsid w:val="00A9027F"/>
    <w:rsid w:val="00A90BAE"/>
    <w:rsid w:val="00A90D06"/>
    <w:rsid w:val="00A90DA7"/>
    <w:rsid w:val="00A91042"/>
    <w:rsid w:val="00A9225F"/>
    <w:rsid w:val="00A92681"/>
    <w:rsid w:val="00A9294A"/>
    <w:rsid w:val="00A93452"/>
    <w:rsid w:val="00A9370D"/>
    <w:rsid w:val="00A956CC"/>
    <w:rsid w:val="00A95B62"/>
    <w:rsid w:val="00A9614E"/>
    <w:rsid w:val="00A962B2"/>
    <w:rsid w:val="00A96534"/>
    <w:rsid w:val="00A96539"/>
    <w:rsid w:val="00A968D9"/>
    <w:rsid w:val="00A96C67"/>
    <w:rsid w:val="00A96D0C"/>
    <w:rsid w:val="00A9719A"/>
    <w:rsid w:val="00AA0ADE"/>
    <w:rsid w:val="00AA19D8"/>
    <w:rsid w:val="00AA1DC1"/>
    <w:rsid w:val="00AA2CB7"/>
    <w:rsid w:val="00AA2D16"/>
    <w:rsid w:val="00AA32F3"/>
    <w:rsid w:val="00AA3D2E"/>
    <w:rsid w:val="00AA3DE1"/>
    <w:rsid w:val="00AA490A"/>
    <w:rsid w:val="00AA4F41"/>
    <w:rsid w:val="00AA521E"/>
    <w:rsid w:val="00AA69CB"/>
    <w:rsid w:val="00AA76EB"/>
    <w:rsid w:val="00AA77E3"/>
    <w:rsid w:val="00AA78EE"/>
    <w:rsid w:val="00AA7F63"/>
    <w:rsid w:val="00AA7FDA"/>
    <w:rsid w:val="00AB07D3"/>
    <w:rsid w:val="00AB07FC"/>
    <w:rsid w:val="00AB0BA9"/>
    <w:rsid w:val="00AB0CBD"/>
    <w:rsid w:val="00AB1E83"/>
    <w:rsid w:val="00AB231B"/>
    <w:rsid w:val="00AB2C64"/>
    <w:rsid w:val="00AB2F84"/>
    <w:rsid w:val="00AB61A5"/>
    <w:rsid w:val="00AB6529"/>
    <w:rsid w:val="00AB6D43"/>
    <w:rsid w:val="00AB79C3"/>
    <w:rsid w:val="00AC1626"/>
    <w:rsid w:val="00AC18A1"/>
    <w:rsid w:val="00AC1E74"/>
    <w:rsid w:val="00AC398B"/>
    <w:rsid w:val="00AC3BC0"/>
    <w:rsid w:val="00AC3CA4"/>
    <w:rsid w:val="00AC4392"/>
    <w:rsid w:val="00AC4650"/>
    <w:rsid w:val="00AC467F"/>
    <w:rsid w:val="00AC469B"/>
    <w:rsid w:val="00AC548E"/>
    <w:rsid w:val="00AC567D"/>
    <w:rsid w:val="00AC5785"/>
    <w:rsid w:val="00AC5A20"/>
    <w:rsid w:val="00AC5D34"/>
    <w:rsid w:val="00AC7119"/>
    <w:rsid w:val="00AD02AF"/>
    <w:rsid w:val="00AD0A96"/>
    <w:rsid w:val="00AD0BBD"/>
    <w:rsid w:val="00AD13B1"/>
    <w:rsid w:val="00AD1857"/>
    <w:rsid w:val="00AD3039"/>
    <w:rsid w:val="00AD35F5"/>
    <w:rsid w:val="00AD3BEF"/>
    <w:rsid w:val="00AD6342"/>
    <w:rsid w:val="00AD671C"/>
    <w:rsid w:val="00AD712E"/>
    <w:rsid w:val="00AD74BB"/>
    <w:rsid w:val="00AD7E7B"/>
    <w:rsid w:val="00AE096F"/>
    <w:rsid w:val="00AE0CD7"/>
    <w:rsid w:val="00AE0D29"/>
    <w:rsid w:val="00AE13F7"/>
    <w:rsid w:val="00AE153E"/>
    <w:rsid w:val="00AE2381"/>
    <w:rsid w:val="00AE270E"/>
    <w:rsid w:val="00AE31EC"/>
    <w:rsid w:val="00AE5308"/>
    <w:rsid w:val="00AE54F2"/>
    <w:rsid w:val="00AE74C2"/>
    <w:rsid w:val="00AE7DB2"/>
    <w:rsid w:val="00AF02FA"/>
    <w:rsid w:val="00AF1148"/>
    <w:rsid w:val="00AF196A"/>
    <w:rsid w:val="00AF1C11"/>
    <w:rsid w:val="00AF207F"/>
    <w:rsid w:val="00AF242C"/>
    <w:rsid w:val="00AF32A5"/>
    <w:rsid w:val="00AF3557"/>
    <w:rsid w:val="00AF4B81"/>
    <w:rsid w:val="00AF557D"/>
    <w:rsid w:val="00AF62AA"/>
    <w:rsid w:val="00AF6622"/>
    <w:rsid w:val="00AF6BFB"/>
    <w:rsid w:val="00AF6D6D"/>
    <w:rsid w:val="00AF735A"/>
    <w:rsid w:val="00B0023C"/>
    <w:rsid w:val="00B00391"/>
    <w:rsid w:val="00B007B6"/>
    <w:rsid w:val="00B00F48"/>
    <w:rsid w:val="00B012CA"/>
    <w:rsid w:val="00B01CD5"/>
    <w:rsid w:val="00B022E2"/>
    <w:rsid w:val="00B03947"/>
    <w:rsid w:val="00B04272"/>
    <w:rsid w:val="00B04839"/>
    <w:rsid w:val="00B04C16"/>
    <w:rsid w:val="00B04E9F"/>
    <w:rsid w:val="00B05214"/>
    <w:rsid w:val="00B057B7"/>
    <w:rsid w:val="00B058AA"/>
    <w:rsid w:val="00B0604E"/>
    <w:rsid w:val="00B06C2A"/>
    <w:rsid w:val="00B100C1"/>
    <w:rsid w:val="00B10402"/>
    <w:rsid w:val="00B104A4"/>
    <w:rsid w:val="00B12691"/>
    <w:rsid w:val="00B13096"/>
    <w:rsid w:val="00B1388A"/>
    <w:rsid w:val="00B144D5"/>
    <w:rsid w:val="00B14C4B"/>
    <w:rsid w:val="00B14F52"/>
    <w:rsid w:val="00B14FAC"/>
    <w:rsid w:val="00B15448"/>
    <w:rsid w:val="00B159EF"/>
    <w:rsid w:val="00B178E9"/>
    <w:rsid w:val="00B206CD"/>
    <w:rsid w:val="00B22C51"/>
    <w:rsid w:val="00B22EB3"/>
    <w:rsid w:val="00B236E4"/>
    <w:rsid w:val="00B23A56"/>
    <w:rsid w:val="00B24936"/>
    <w:rsid w:val="00B24B2B"/>
    <w:rsid w:val="00B24C95"/>
    <w:rsid w:val="00B25FA0"/>
    <w:rsid w:val="00B26172"/>
    <w:rsid w:val="00B273A1"/>
    <w:rsid w:val="00B30EF7"/>
    <w:rsid w:val="00B341E1"/>
    <w:rsid w:val="00B354F5"/>
    <w:rsid w:val="00B35853"/>
    <w:rsid w:val="00B361B5"/>
    <w:rsid w:val="00B36275"/>
    <w:rsid w:val="00B36B3B"/>
    <w:rsid w:val="00B36C87"/>
    <w:rsid w:val="00B373DE"/>
    <w:rsid w:val="00B373F8"/>
    <w:rsid w:val="00B376AA"/>
    <w:rsid w:val="00B406CA"/>
    <w:rsid w:val="00B409C7"/>
    <w:rsid w:val="00B410E7"/>
    <w:rsid w:val="00B416A1"/>
    <w:rsid w:val="00B41775"/>
    <w:rsid w:val="00B41920"/>
    <w:rsid w:val="00B42206"/>
    <w:rsid w:val="00B42A92"/>
    <w:rsid w:val="00B42FE0"/>
    <w:rsid w:val="00B437DB"/>
    <w:rsid w:val="00B4582B"/>
    <w:rsid w:val="00B46686"/>
    <w:rsid w:val="00B46687"/>
    <w:rsid w:val="00B47931"/>
    <w:rsid w:val="00B501BA"/>
    <w:rsid w:val="00B502FA"/>
    <w:rsid w:val="00B50537"/>
    <w:rsid w:val="00B51647"/>
    <w:rsid w:val="00B51751"/>
    <w:rsid w:val="00B51F2F"/>
    <w:rsid w:val="00B5212A"/>
    <w:rsid w:val="00B5287F"/>
    <w:rsid w:val="00B543C2"/>
    <w:rsid w:val="00B5497E"/>
    <w:rsid w:val="00B5542B"/>
    <w:rsid w:val="00B557D4"/>
    <w:rsid w:val="00B55F48"/>
    <w:rsid w:val="00B56DD6"/>
    <w:rsid w:val="00B57087"/>
    <w:rsid w:val="00B5724A"/>
    <w:rsid w:val="00B5764C"/>
    <w:rsid w:val="00B576C0"/>
    <w:rsid w:val="00B57D5D"/>
    <w:rsid w:val="00B60D96"/>
    <w:rsid w:val="00B61188"/>
    <w:rsid w:val="00B613AE"/>
    <w:rsid w:val="00B61DD0"/>
    <w:rsid w:val="00B6293B"/>
    <w:rsid w:val="00B63896"/>
    <w:rsid w:val="00B65468"/>
    <w:rsid w:val="00B65A63"/>
    <w:rsid w:val="00B65FA9"/>
    <w:rsid w:val="00B66E84"/>
    <w:rsid w:val="00B67CDA"/>
    <w:rsid w:val="00B703DF"/>
    <w:rsid w:val="00B7174E"/>
    <w:rsid w:val="00B72F3F"/>
    <w:rsid w:val="00B749BE"/>
    <w:rsid w:val="00B74E6D"/>
    <w:rsid w:val="00B7514C"/>
    <w:rsid w:val="00B763C9"/>
    <w:rsid w:val="00B8006A"/>
    <w:rsid w:val="00B8060A"/>
    <w:rsid w:val="00B807F2"/>
    <w:rsid w:val="00B8096E"/>
    <w:rsid w:val="00B81CB1"/>
    <w:rsid w:val="00B81E91"/>
    <w:rsid w:val="00B82311"/>
    <w:rsid w:val="00B83239"/>
    <w:rsid w:val="00B838FD"/>
    <w:rsid w:val="00B83EBD"/>
    <w:rsid w:val="00B845BC"/>
    <w:rsid w:val="00B84A9C"/>
    <w:rsid w:val="00B85377"/>
    <w:rsid w:val="00B856EA"/>
    <w:rsid w:val="00B858EF"/>
    <w:rsid w:val="00B86BAF"/>
    <w:rsid w:val="00B90D3C"/>
    <w:rsid w:val="00B91B37"/>
    <w:rsid w:val="00B92F88"/>
    <w:rsid w:val="00B938D0"/>
    <w:rsid w:val="00B93A66"/>
    <w:rsid w:val="00B951F9"/>
    <w:rsid w:val="00B95396"/>
    <w:rsid w:val="00B9584C"/>
    <w:rsid w:val="00B9596E"/>
    <w:rsid w:val="00B95AAB"/>
    <w:rsid w:val="00B96907"/>
    <w:rsid w:val="00B96933"/>
    <w:rsid w:val="00B975F2"/>
    <w:rsid w:val="00B97BF3"/>
    <w:rsid w:val="00BA0134"/>
    <w:rsid w:val="00BA0BD4"/>
    <w:rsid w:val="00BA19E8"/>
    <w:rsid w:val="00BA2A56"/>
    <w:rsid w:val="00BA2DC6"/>
    <w:rsid w:val="00BA412C"/>
    <w:rsid w:val="00BA43D7"/>
    <w:rsid w:val="00BA4F8E"/>
    <w:rsid w:val="00BA53F8"/>
    <w:rsid w:val="00BA5ECD"/>
    <w:rsid w:val="00BA7041"/>
    <w:rsid w:val="00BA7C1A"/>
    <w:rsid w:val="00BB211E"/>
    <w:rsid w:val="00BB21A1"/>
    <w:rsid w:val="00BB2534"/>
    <w:rsid w:val="00BB2BF7"/>
    <w:rsid w:val="00BB2DF1"/>
    <w:rsid w:val="00BB2FBD"/>
    <w:rsid w:val="00BB310D"/>
    <w:rsid w:val="00BB3473"/>
    <w:rsid w:val="00BB3A43"/>
    <w:rsid w:val="00BB3D1E"/>
    <w:rsid w:val="00BB3D51"/>
    <w:rsid w:val="00BB3F26"/>
    <w:rsid w:val="00BB53A3"/>
    <w:rsid w:val="00BB58AB"/>
    <w:rsid w:val="00BB58C9"/>
    <w:rsid w:val="00BB6304"/>
    <w:rsid w:val="00BB6654"/>
    <w:rsid w:val="00BB67E0"/>
    <w:rsid w:val="00BB681E"/>
    <w:rsid w:val="00BB792D"/>
    <w:rsid w:val="00BC045D"/>
    <w:rsid w:val="00BC112D"/>
    <w:rsid w:val="00BC1D13"/>
    <w:rsid w:val="00BC3979"/>
    <w:rsid w:val="00BC40F1"/>
    <w:rsid w:val="00BC527A"/>
    <w:rsid w:val="00BC54AD"/>
    <w:rsid w:val="00BC64E3"/>
    <w:rsid w:val="00BD0D18"/>
    <w:rsid w:val="00BD1808"/>
    <w:rsid w:val="00BD1F82"/>
    <w:rsid w:val="00BD2A13"/>
    <w:rsid w:val="00BD3990"/>
    <w:rsid w:val="00BD4BA5"/>
    <w:rsid w:val="00BD528D"/>
    <w:rsid w:val="00BD5564"/>
    <w:rsid w:val="00BD58C9"/>
    <w:rsid w:val="00BD5AC8"/>
    <w:rsid w:val="00BD7B09"/>
    <w:rsid w:val="00BD7D62"/>
    <w:rsid w:val="00BD7E20"/>
    <w:rsid w:val="00BD7E77"/>
    <w:rsid w:val="00BE09B4"/>
    <w:rsid w:val="00BE0EA1"/>
    <w:rsid w:val="00BE119A"/>
    <w:rsid w:val="00BE1656"/>
    <w:rsid w:val="00BE2B67"/>
    <w:rsid w:val="00BE3D38"/>
    <w:rsid w:val="00BE4D64"/>
    <w:rsid w:val="00BE560B"/>
    <w:rsid w:val="00BE5711"/>
    <w:rsid w:val="00BE5A8D"/>
    <w:rsid w:val="00BE7C4E"/>
    <w:rsid w:val="00BE7F85"/>
    <w:rsid w:val="00BF069B"/>
    <w:rsid w:val="00BF0983"/>
    <w:rsid w:val="00BF0DDB"/>
    <w:rsid w:val="00BF1D1F"/>
    <w:rsid w:val="00BF2948"/>
    <w:rsid w:val="00BF2D39"/>
    <w:rsid w:val="00BF3363"/>
    <w:rsid w:val="00BF35C6"/>
    <w:rsid w:val="00BF415A"/>
    <w:rsid w:val="00BF44B4"/>
    <w:rsid w:val="00BF6C70"/>
    <w:rsid w:val="00BF6C7A"/>
    <w:rsid w:val="00BF7B77"/>
    <w:rsid w:val="00C008B5"/>
    <w:rsid w:val="00C011F2"/>
    <w:rsid w:val="00C01683"/>
    <w:rsid w:val="00C028E0"/>
    <w:rsid w:val="00C02910"/>
    <w:rsid w:val="00C032AA"/>
    <w:rsid w:val="00C0432E"/>
    <w:rsid w:val="00C043FE"/>
    <w:rsid w:val="00C06A5D"/>
    <w:rsid w:val="00C10C22"/>
    <w:rsid w:val="00C10D60"/>
    <w:rsid w:val="00C11539"/>
    <w:rsid w:val="00C1272D"/>
    <w:rsid w:val="00C12D02"/>
    <w:rsid w:val="00C132CD"/>
    <w:rsid w:val="00C148AF"/>
    <w:rsid w:val="00C1542E"/>
    <w:rsid w:val="00C1652A"/>
    <w:rsid w:val="00C168DD"/>
    <w:rsid w:val="00C17569"/>
    <w:rsid w:val="00C178B8"/>
    <w:rsid w:val="00C20DC2"/>
    <w:rsid w:val="00C21566"/>
    <w:rsid w:val="00C22D38"/>
    <w:rsid w:val="00C22F8E"/>
    <w:rsid w:val="00C23014"/>
    <w:rsid w:val="00C238D8"/>
    <w:rsid w:val="00C24063"/>
    <w:rsid w:val="00C2487A"/>
    <w:rsid w:val="00C24D9B"/>
    <w:rsid w:val="00C2519E"/>
    <w:rsid w:val="00C2552A"/>
    <w:rsid w:val="00C27301"/>
    <w:rsid w:val="00C275B0"/>
    <w:rsid w:val="00C301AC"/>
    <w:rsid w:val="00C30A29"/>
    <w:rsid w:val="00C3147D"/>
    <w:rsid w:val="00C31675"/>
    <w:rsid w:val="00C3259F"/>
    <w:rsid w:val="00C3321D"/>
    <w:rsid w:val="00C33639"/>
    <w:rsid w:val="00C33861"/>
    <w:rsid w:val="00C34033"/>
    <w:rsid w:val="00C355A3"/>
    <w:rsid w:val="00C355C1"/>
    <w:rsid w:val="00C356A9"/>
    <w:rsid w:val="00C35926"/>
    <w:rsid w:val="00C36940"/>
    <w:rsid w:val="00C36C1B"/>
    <w:rsid w:val="00C36CA6"/>
    <w:rsid w:val="00C373CB"/>
    <w:rsid w:val="00C3770F"/>
    <w:rsid w:val="00C411AC"/>
    <w:rsid w:val="00C4194F"/>
    <w:rsid w:val="00C42282"/>
    <w:rsid w:val="00C42ACC"/>
    <w:rsid w:val="00C42D94"/>
    <w:rsid w:val="00C431D0"/>
    <w:rsid w:val="00C436F9"/>
    <w:rsid w:val="00C437D2"/>
    <w:rsid w:val="00C43BE2"/>
    <w:rsid w:val="00C45A4A"/>
    <w:rsid w:val="00C46AFC"/>
    <w:rsid w:val="00C4799F"/>
    <w:rsid w:val="00C47CDD"/>
    <w:rsid w:val="00C50933"/>
    <w:rsid w:val="00C50B2F"/>
    <w:rsid w:val="00C50BD3"/>
    <w:rsid w:val="00C50C52"/>
    <w:rsid w:val="00C50DF5"/>
    <w:rsid w:val="00C50EF3"/>
    <w:rsid w:val="00C5105B"/>
    <w:rsid w:val="00C5188E"/>
    <w:rsid w:val="00C5285A"/>
    <w:rsid w:val="00C53284"/>
    <w:rsid w:val="00C53556"/>
    <w:rsid w:val="00C53786"/>
    <w:rsid w:val="00C53B39"/>
    <w:rsid w:val="00C5515A"/>
    <w:rsid w:val="00C55E4A"/>
    <w:rsid w:val="00C5738E"/>
    <w:rsid w:val="00C5774E"/>
    <w:rsid w:val="00C60581"/>
    <w:rsid w:val="00C615F1"/>
    <w:rsid w:val="00C62813"/>
    <w:rsid w:val="00C62A07"/>
    <w:rsid w:val="00C62B2E"/>
    <w:rsid w:val="00C62D2A"/>
    <w:rsid w:val="00C6344C"/>
    <w:rsid w:val="00C64677"/>
    <w:rsid w:val="00C65165"/>
    <w:rsid w:val="00C657A3"/>
    <w:rsid w:val="00C660AB"/>
    <w:rsid w:val="00C6662E"/>
    <w:rsid w:val="00C666AB"/>
    <w:rsid w:val="00C67566"/>
    <w:rsid w:val="00C70027"/>
    <w:rsid w:val="00C703A4"/>
    <w:rsid w:val="00C71A55"/>
    <w:rsid w:val="00C73B39"/>
    <w:rsid w:val="00C7493E"/>
    <w:rsid w:val="00C75CD2"/>
    <w:rsid w:val="00C75E5C"/>
    <w:rsid w:val="00C76E77"/>
    <w:rsid w:val="00C77D6A"/>
    <w:rsid w:val="00C80437"/>
    <w:rsid w:val="00C80600"/>
    <w:rsid w:val="00C815F8"/>
    <w:rsid w:val="00C82606"/>
    <w:rsid w:val="00C8284F"/>
    <w:rsid w:val="00C83B8C"/>
    <w:rsid w:val="00C84541"/>
    <w:rsid w:val="00C8533A"/>
    <w:rsid w:val="00C85CA3"/>
    <w:rsid w:val="00C86082"/>
    <w:rsid w:val="00C86323"/>
    <w:rsid w:val="00C865D1"/>
    <w:rsid w:val="00C86C0D"/>
    <w:rsid w:val="00C8727F"/>
    <w:rsid w:val="00C8758A"/>
    <w:rsid w:val="00C87873"/>
    <w:rsid w:val="00C87D31"/>
    <w:rsid w:val="00C904A9"/>
    <w:rsid w:val="00C90F29"/>
    <w:rsid w:val="00C91FF4"/>
    <w:rsid w:val="00C92334"/>
    <w:rsid w:val="00C925C1"/>
    <w:rsid w:val="00C92E76"/>
    <w:rsid w:val="00C92FFC"/>
    <w:rsid w:val="00C93264"/>
    <w:rsid w:val="00C9474F"/>
    <w:rsid w:val="00C94845"/>
    <w:rsid w:val="00C958E8"/>
    <w:rsid w:val="00C96467"/>
    <w:rsid w:val="00CA0A4F"/>
    <w:rsid w:val="00CA14A7"/>
    <w:rsid w:val="00CA1899"/>
    <w:rsid w:val="00CA1E93"/>
    <w:rsid w:val="00CA30B7"/>
    <w:rsid w:val="00CA3FC8"/>
    <w:rsid w:val="00CA40A5"/>
    <w:rsid w:val="00CA5304"/>
    <w:rsid w:val="00CA5326"/>
    <w:rsid w:val="00CA5BAC"/>
    <w:rsid w:val="00CA5E70"/>
    <w:rsid w:val="00CA7863"/>
    <w:rsid w:val="00CA7B0E"/>
    <w:rsid w:val="00CA7DC3"/>
    <w:rsid w:val="00CB0014"/>
    <w:rsid w:val="00CB0467"/>
    <w:rsid w:val="00CB0A0F"/>
    <w:rsid w:val="00CB0B16"/>
    <w:rsid w:val="00CB0CDC"/>
    <w:rsid w:val="00CB1DD5"/>
    <w:rsid w:val="00CB1E71"/>
    <w:rsid w:val="00CB21AE"/>
    <w:rsid w:val="00CB2C3D"/>
    <w:rsid w:val="00CB2EFF"/>
    <w:rsid w:val="00CB32A9"/>
    <w:rsid w:val="00CB4410"/>
    <w:rsid w:val="00CB4D44"/>
    <w:rsid w:val="00CB514C"/>
    <w:rsid w:val="00CB5B33"/>
    <w:rsid w:val="00CB7C3E"/>
    <w:rsid w:val="00CC1747"/>
    <w:rsid w:val="00CC1DB6"/>
    <w:rsid w:val="00CC2303"/>
    <w:rsid w:val="00CC3B63"/>
    <w:rsid w:val="00CC44F1"/>
    <w:rsid w:val="00CC4671"/>
    <w:rsid w:val="00CC48A5"/>
    <w:rsid w:val="00CC52AC"/>
    <w:rsid w:val="00CC6448"/>
    <w:rsid w:val="00CC704D"/>
    <w:rsid w:val="00CC74AE"/>
    <w:rsid w:val="00CD2510"/>
    <w:rsid w:val="00CD26FC"/>
    <w:rsid w:val="00CD2D4B"/>
    <w:rsid w:val="00CD2D7E"/>
    <w:rsid w:val="00CD460F"/>
    <w:rsid w:val="00CD498E"/>
    <w:rsid w:val="00CD5CDD"/>
    <w:rsid w:val="00CD65F6"/>
    <w:rsid w:val="00CD6BA8"/>
    <w:rsid w:val="00CD6D3A"/>
    <w:rsid w:val="00CD7155"/>
    <w:rsid w:val="00CD78BC"/>
    <w:rsid w:val="00CE18AD"/>
    <w:rsid w:val="00CE2C5D"/>
    <w:rsid w:val="00CE3A4D"/>
    <w:rsid w:val="00CE402D"/>
    <w:rsid w:val="00CE5A88"/>
    <w:rsid w:val="00CE5C88"/>
    <w:rsid w:val="00CE6E16"/>
    <w:rsid w:val="00CE6E74"/>
    <w:rsid w:val="00CE7C74"/>
    <w:rsid w:val="00CE7E73"/>
    <w:rsid w:val="00CF0395"/>
    <w:rsid w:val="00CF0494"/>
    <w:rsid w:val="00CF1D73"/>
    <w:rsid w:val="00CF22BA"/>
    <w:rsid w:val="00CF26E6"/>
    <w:rsid w:val="00CF2903"/>
    <w:rsid w:val="00CF2ACE"/>
    <w:rsid w:val="00CF2C6B"/>
    <w:rsid w:val="00CF3708"/>
    <w:rsid w:val="00CF61A7"/>
    <w:rsid w:val="00CF6A27"/>
    <w:rsid w:val="00CF7120"/>
    <w:rsid w:val="00CF79D4"/>
    <w:rsid w:val="00D00181"/>
    <w:rsid w:val="00D010BD"/>
    <w:rsid w:val="00D013D6"/>
    <w:rsid w:val="00D0158D"/>
    <w:rsid w:val="00D01E94"/>
    <w:rsid w:val="00D0205B"/>
    <w:rsid w:val="00D02310"/>
    <w:rsid w:val="00D025F3"/>
    <w:rsid w:val="00D0277E"/>
    <w:rsid w:val="00D02B78"/>
    <w:rsid w:val="00D037EE"/>
    <w:rsid w:val="00D03966"/>
    <w:rsid w:val="00D04132"/>
    <w:rsid w:val="00D04755"/>
    <w:rsid w:val="00D055FB"/>
    <w:rsid w:val="00D05E6C"/>
    <w:rsid w:val="00D05EB8"/>
    <w:rsid w:val="00D06023"/>
    <w:rsid w:val="00D0629D"/>
    <w:rsid w:val="00D06A83"/>
    <w:rsid w:val="00D10CCE"/>
    <w:rsid w:val="00D1195C"/>
    <w:rsid w:val="00D12199"/>
    <w:rsid w:val="00D1247E"/>
    <w:rsid w:val="00D12F16"/>
    <w:rsid w:val="00D13832"/>
    <w:rsid w:val="00D13B35"/>
    <w:rsid w:val="00D148DA"/>
    <w:rsid w:val="00D14CC4"/>
    <w:rsid w:val="00D16435"/>
    <w:rsid w:val="00D16834"/>
    <w:rsid w:val="00D16C70"/>
    <w:rsid w:val="00D17185"/>
    <w:rsid w:val="00D174F7"/>
    <w:rsid w:val="00D2035B"/>
    <w:rsid w:val="00D205B1"/>
    <w:rsid w:val="00D21E13"/>
    <w:rsid w:val="00D22162"/>
    <w:rsid w:val="00D2261C"/>
    <w:rsid w:val="00D23FE3"/>
    <w:rsid w:val="00D242CE"/>
    <w:rsid w:val="00D25E5D"/>
    <w:rsid w:val="00D2608C"/>
    <w:rsid w:val="00D260BF"/>
    <w:rsid w:val="00D2621A"/>
    <w:rsid w:val="00D26E69"/>
    <w:rsid w:val="00D2714C"/>
    <w:rsid w:val="00D27C1B"/>
    <w:rsid w:val="00D3073A"/>
    <w:rsid w:val="00D309B7"/>
    <w:rsid w:val="00D3106F"/>
    <w:rsid w:val="00D320AB"/>
    <w:rsid w:val="00D322B2"/>
    <w:rsid w:val="00D32305"/>
    <w:rsid w:val="00D327DF"/>
    <w:rsid w:val="00D32B4D"/>
    <w:rsid w:val="00D335BD"/>
    <w:rsid w:val="00D33B58"/>
    <w:rsid w:val="00D352C1"/>
    <w:rsid w:val="00D356F6"/>
    <w:rsid w:val="00D368D0"/>
    <w:rsid w:val="00D40685"/>
    <w:rsid w:val="00D40731"/>
    <w:rsid w:val="00D4263F"/>
    <w:rsid w:val="00D429D9"/>
    <w:rsid w:val="00D43EC7"/>
    <w:rsid w:val="00D44418"/>
    <w:rsid w:val="00D44692"/>
    <w:rsid w:val="00D470F4"/>
    <w:rsid w:val="00D508FC"/>
    <w:rsid w:val="00D50AD4"/>
    <w:rsid w:val="00D522C5"/>
    <w:rsid w:val="00D540C6"/>
    <w:rsid w:val="00D55CE2"/>
    <w:rsid w:val="00D578A3"/>
    <w:rsid w:val="00D578B7"/>
    <w:rsid w:val="00D578FD"/>
    <w:rsid w:val="00D57F95"/>
    <w:rsid w:val="00D612BD"/>
    <w:rsid w:val="00D61644"/>
    <w:rsid w:val="00D61FC8"/>
    <w:rsid w:val="00D62C33"/>
    <w:rsid w:val="00D634F4"/>
    <w:rsid w:val="00D63DC6"/>
    <w:rsid w:val="00D653AF"/>
    <w:rsid w:val="00D65A59"/>
    <w:rsid w:val="00D65A5A"/>
    <w:rsid w:val="00D66593"/>
    <w:rsid w:val="00D67B1F"/>
    <w:rsid w:val="00D67BDE"/>
    <w:rsid w:val="00D703FA"/>
    <w:rsid w:val="00D70587"/>
    <w:rsid w:val="00D70787"/>
    <w:rsid w:val="00D70A17"/>
    <w:rsid w:val="00D70E22"/>
    <w:rsid w:val="00D71390"/>
    <w:rsid w:val="00D7184D"/>
    <w:rsid w:val="00D724EF"/>
    <w:rsid w:val="00D7254C"/>
    <w:rsid w:val="00D72F05"/>
    <w:rsid w:val="00D733C6"/>
    <w:rsid w:val="00D737F5"/>
    <w:rsid w:val="00D73A60"/>
    <w:rsid w:val="00D73E24"/>
    <w:rsid w:val="00D73EB3"/>
    <w:rsid w:val="00D74169"/>
    <w:rsid w:val="00D753DA"/>
    <w:rsid w:val="00D758B8"/>
    <w:rsid w:val="00D75C22"/>
    <w:rsid w:val="00D75F33"/>
    <w:rsid w:val="00D76181"/>
    <w:rsid w:val="00D76289"/>
    <w:rsid w:val="00D76828"/>
    <w:rsid w:val="00D76B97"/>
    <w:rsid w:val="00D772EC"/>
    <w:rsid w:val="00D77B06"/>
    <w:rsid w:val="00D77FD1"/>
    <w:rsid w:val="00D800C0"/>
    <w:rsid w:val="00D801B0"/>
    <w:rsid w:val="00D812EA"/>
    <w:rsid w:val="00D8163F"/>
    <w:rsid w:val="00D82B81"/>
    <w:rsid w:val="00D82E7A"/>
    <w:rsid w:val="00D8324C"/>
    <w:rsid w:val="00D83727"/>
    <w:rsid w:val="00D83A96"/>
    <w:rsid w:val="00D843BD"/>
    <w:rsid w:val="00D84737"/>
    <w:rsid w:val="00D84C7F"/>
    <w:rsid w:val="00D85D5B"/>
    <w:rsid w:val="00D868D4"/>
    <w:rsid w:val="00D87352"/>
    <w:rsid w:val="00D8741B"/>
    <w:rsid w:val="00D87610"/>
    <w:rsid w:val="00D8782E"/>
    <w:rsid w:val="00D90223"/>
    <w:rsid w:val="00D91045"/>
    <w:rsid w:val="00D91B86"/>
    <w:rsid w:val="00D91DFA"/>
    <w:rsid w:val="00D92653"/>
    <w:rsid w:val="00D93098"/>
    <w:rsid w:val="00D93750"/>
    <w:rsid w:val="00D93945"/>
    <w:rsid w:val="00D93BCE"/>
    <w:rsid w:val="00D93F92"/>
    <w:rsid w:val="00D9440F"/>
    <w:rsid w:val="00D946F2"/>
    <w:rsid w:val="00D9497D"/>
    <w:rsid w:val="00D96090"/>
    <w:rsid w:val="00D9644B"/>
    <w:rsid w:val="00D96666"/>
    <w:rsid w:val="00D975DF"/>
    <w:rsid w:val="00D97D87"/>
    <w:rsid w:val="00DA0E2A"/>
    <w:rsid w:val="00DA0FD4"/>
    <w:rsid w:val="00DA1049"/>
    <w:rsid w:val="00DA1B19"/>
    <w:rsid w:val="00DA29AA"/>
    <w:rsid w:val="00DA2F5D"/>
    <w:rsid w:val="00DA30A6"/>
    <w:rsid w:val="00DA3253"/>
    <w:rsid w:val="00DA4057"/>
    <w:rsid w:val="00DA478A"/>
    <w:rsid w:val="00DA4805"/>
    <w:rsid w:val="00DA4A87"/>
    <w:rsid w:val="00DA5D46"/>
    <w:rsid w:val="00DA60EB"/>
    <w:rsid w:val="00DA618F"/>
    <w:rsid w:val="00DA66F7"/>
    <w:rsid w:val="00DA78ED"/>
    <w:rsid w:val="00DB01FA"/>
    <w:rsid w:val="00DB0C92"/>
    <w:rsid w:val="00DB17A4"/>
    <w:rsid w:val="00DB1AA0"/>
    <w:rsid w:val="00DB1CDA"/>
    <w:rsid w:val="00DB1F5D"/>
    <w:rsid w:val="00DB205C"/>
    <w:rsid w:val="00DB2F5E"/>
    <w:rsid w:val="00DB3A79"/>
    <w:rsid w:val="00DB44FE"/>
    <w:rsid w:val="00DB6796"/>
    <w:rsid w:val="00DB6B05"/>
    <w:rsid w:val="00DB7C50"/>
    <w:rsid w:val="00DB7F65"/>
    <w:rsid w:val="00DC0913"/>
    <w:rsid w:val="00DC253F"/>
    <w:rsid w:val="00DC4EB6"/>
    <w:rsid w:val="00DC5006"/>
    <w:rsid w:val="00DC5498"/>
    <w:rsid w:val="00DC5C5A"/>
    <w:rsid w:val="00DC6E25"/>
    <w:rsid w:val="00DC7C08"/>
    <w:rsid w:val="00DC7C51"/>
    <w:rsid w:val="00DC7CE7"/>
    <w:rsid w:val="00DD0E5C"/>
    <w:rsid w:val="00DD0FB0"/>
    <w:rsid w:val="00DD1284"/>
    <w:rsid w:val="00DD1BBE"/>
    <w:rsid w:val="00DD1C30"/>
    <w:rsid w:val="00DD231B"/>
    <w:rsid w:val="00DD25CE"/>
    <w:rsid w:val="00DD2BBB"/>
    <w:rsid w:val="00DD3C81"/>
    <w:rsid w:val="00DD3EB7"/>
    <w:rsid w:val="00DD3F71"/>
    <w:rsid w:val="00DD4AD8"/>
    <w:rsid w:val="00DD5275"/>
    <w:rsid w:val="00DD691D"/>
    <w:rsid w:val="00DD799D"/>
    <w:rsid w:val="00DE00CE"/>
    <w:rsid w:val="00DE024E"/>
    <w:rsid w:val="00DE069A"/>
    <w:rsid w:val="00DE0E92"/>
    <w:rsid w:val="00DE1891"/>
    <w:rsid w:val="00DE196A"/>
    <w:rsid w:val="00DE1A7D"/>
    <w:rsid w:val="00DE1DC5"/>
    <w:rsid w:val="00DE301F"/>
    <w:rsid w:val="00DE31F3"/>
    <w:rsid w:val="00DE39A9"/>
    <w:rsid w:val="00DE5298"/>
    <w:rsid w:val="00DE52B6"/>
    <w:rsid w:val="00DE7156"/>
    <w:rsid w:val="00DE7A34"/>
    <w:rsid w:val="00DE7B36"/>
    <w:rsid w:val="00DF0314"/>
    <w:rsid w:val="00DF0920"/>
    <w:rsid w:val="00DF093F"/>
    <w:rsid w:val="00DF1259"/>
    <w:rsid w:val="00DF19A7"/>
    <w:rsid w:val="00DF30CD"/>
    <w:rsid w:val="00DF340F"/>
    <w:rsid w:val="00DF4254"/>
    <w:rsid w:val="00DF5764"/>
    <w:rsid w:val="00DF5A25"/>
    <w:rsid w:val="00DF6064"/>
    <w:rsid w:val="00DF64C8"/>
    <w:rsid w:val="00DF6649"/>
    <w:rsid w:val="00DF6904"/>
    <w:rsid w:val="00DF69F5"/>
    <w:rsid w:val="00DF6D02"/>
    <w:rsid w:val="00DF6F07"/>
    <w:rsid w:val="00E02782"/>
    <w:rsid w:val="00E02CF8"/>
    <w:rsid w:val="00E03946"/>
    <w:rsid w:val="00E03B71"/>
    <w:rsid w:val="00E04D17"/>
    <w:rsid w:val="00E0501E"/>
    <w:rsid w:val="00E051EC"/>
    <w:rsid w:val="00E058D4"/>
    <w:rsid w:val="00E05D24"/>
    <w:rsid w:val="00E0617B"/>
    <w:rsid w:val="00E06856"/>
    <w:rsid w:val="00E06FA0"/>
    <w:rsid w:val="00E0744B"/>
    <w:rsid w:val="00E079C0"/>
    <w:rsid w:val="00E07BE6"/>
    <w:rsid w:val="00E10377"/>
    <w:rsid w:val="00E10759"/>
    <w:rsid w:val="00E107DC"/>
    <w:rsid w:val="00E12B1A"/>
    <w:rsid w:val="00E12B51"/>
    <w:rsid w:val="00E12C62"/>
    <w:rsid w:val="00E12F3B"/>
    <w:rsid w:val="00E1311F"/>
    <w:rsid w:val="00E13154"/>
    <w:rsid w:val="00E1696F"/>
    <w:rsid w:val="00E16E5E"/>
    <w:rsid w:val="00E16EB2"/>
    <w:rsid w:val="00E177E5"/>
    <w:rsid w:val="00E21057"/>
    <w:rsid w:val="00E2154B"/>
    <w:rsid w:val="00E21AB5"/>
    <w:rsid w:val="00E2397E"/>
    <w:rsid w:val="00E239A0"/>
    <w:rsid w:val="00E23B87"/>
    <w:rsid w:val="00E247CB"/>
    <w:rsid w:val="00E24955"/>
    <w:rsid w:val="00E2513E"/>
    <w:rsid w:val="00E25BC1"/>
    <w:rsid w:val="00E26AC7"/>
    <w:rsid w:val="00E27838"/>
    <w:rsid w:val="00E27E46"/>
    <w:rsid w:val="00E301BE"/>
    <w:rsid w:val="00E3043D"/>
    <w:rsid w:val="00E30BCA"/>
    <w:rsid w:val="00E3122A"/>
    <w:rsid w:val="00E31B90"/>
    <w:rsid w:val="00E31CCE"/>
    <w:rsid w:val="00E339A9"/>
    <w:rsid w:val="00E33D7E"/>
    <w:rsid w:val="00E3450D"/>
    <w:rsid w:val="00E35074"/>
    <w:rsid w:val="00E363FC"/>
    <w:rsid w:val="00E36736"/>
    <w:rsid w:val="00E40BE8"/>
    <w:rsid w:val="00E430BF"/>
    <w:rsid w:val="00E4323A"/>
    <w:rsid w:val="00E43D73"/>
    <w:rsid w:val="00E44E6C"/>
    <w:rsid w:val="00E44F9E"/>
    <w:rsid w:val="00E45740"/>
    <w:rsid w:val="00E459D3"/>
    <w:rsid w:val="00E45E2D"/>
    <w:rsid w:val="00E47BE2"/>
    <w:rsid w:val="00E501F6"/>
    <w:rsid w:val="00E503A8"/>
    <w:rsid w:val="00E50717"/>
    <w:rsid w:val="00E50882"/>
    <w:rsid w:val="00E50A20"/>
    <w:rsid w:val="00E51049"/>
    <w:rsid w:val="00E52581"/>
    <w:rsid w:val="00E5344E"/>
    <w:rsid w:val="00E53729"/>
    <w:rsid w:val="00E53DD0"/>
    <w:rsid w:val="00E54AD8"/>
    <w:rsid w:val="00E5754C"/>
    <w:rsid w:val="00E57ACB"/>
    <w:rsid w:val="00E57EF1"/>
    <w:rsid w:val="00E6267F"/>
    <w:rsid w:val="00E63F1D"/>
    <w:rsid w:val="00E64C9A"/>
    <w:rsid w:val="00E65431"/>
    <w:rsid w:val="00E65880"/>
    <w:rsid w:val="00E66048"/>
    <w:rsid w:val="00E66B72"/>
    <w:rsid w:val="00E67826"/>
    <w:rsid w:val="00E716E8"/>
    <w:rsid w:val="00E72203"/>
    <w:rsid w:val="00E7289A"/>
    <w:rsid w:val="00E7292C"/>
    <w:rsid w:val="00E72C4D"/>
    <w:rsid w:val="00E72ED3"/>
    <w:rsid w:val="00E7306A"/>
    <w:rsid w:val="00E74470"/>
    <w:rsid w:val="00E74CFD"/>
    <w:rsid w:val="00E74F07"/>
    <w:rsid w:val="00E75645"/>
    <w:rsid w:val="00E7568F"/>
    <w:rsid w:val="00E757EE"/>
    <w:rsid w:val="00E77A6D"/>
    <w:rsid w:val="00E77B58"/>
    <w:rsid w:val="00E77FFB"/>
    <w:rsid w:val="00E80191"/>
    <w:rsid w:val="00E8111F"/>
    <w:rsid w:val="00E82132"/>
    <w:rsid w:val="00E82C8D"/>
    <w:rsid w:val="00E8387A"/>
    <w:rsid w:val="00E83FAA"/>
    <w:rsid w:val="00E841C1"/>
    <w:rsid w:val="00E84BE8"/>
    <w:rsid w:val="00E84C58"/>
    <w:rsid w:val="00E85AC7"/>
    <w:rsid w:val="00E85E8F"/>
    <w:rsid w:val="00E860E8"/>
    <w:rsid w:val="00E86199"/>
    <w:rsid w:val="00E86278"/>
    <w:rsid w:val="00E86B0A"/>
    <w:rsid w:val="00E90877"/>
    <w:rsid w:val="00E92001"/>
    <w:rsid w:val="00E93D42"/>
    <w:rsid w:val="00E93D66"/>
    <w:rsid w:val="00E95AFF"/>
    <w:rsid w:val="00E97272"/>
    <w:rsid w:val="00E97353"/>
    <w:rsid w:val="00E97BD2"/>
    <w:rsid w:val="00EA005A"/>
    <w:rsid w:val="00EA1099"/>
    <w:rsid w:val="00EA1368"/>
    <w:rsid w:val="00EA1BAC"/>
    <w:rsid w:val="00EA1FCA"/>
    <w:rsid w:val="00EA31C5"/>
    <w:rsid w:val="00EA346B"/>
    <w:rsid w:val="00EA36DD"/>
    <w:rsid w:val="00EA473D"/>
    <w:rsid w:val="00EA5763"/>
    <w:rsid w:val="00EA6436"/>
    <w:rsid w:val="00EA7F5F"/>
    <w:rsid w:val="00EB0413"/>
    <w:rsid w:val="00EB0BBB"/>
    <w:rsid w:val="00EB0EA3"/>
    <w:rsid w:val="00EB147E"/>
    <w:rsid w:val="00EB2240"/>
    <w:rsid w:val="00EB22DC"/>
    <w:rsid w:val="00EB3019"/>
    <w:rsid w:val="00EB380B"/>
    <w:rsid w:val="00EB3AB9"/>
    <w:rsid w:val="00EB406C"/>
    <w:rsid w:val="00EB5132"/>
    <w:rsid w:val="00EB5158"/>
    <w:rsid w:val="00EB5C52"/>
    <w:rsid w:val="00EB648A"/>
    <w:rsid w:val="00EB6BFB"/>
    <w:rsid w:val="00EB6CC9"/>
    <w:rsid w:val="00EC0A3A"/>
    <w:rsid w:val="00EC2A12"/>
    <w:rsid w:val="00EC3B20"/>
    <w:rsid w:val="00EC44A2"/>
    <w:rsid w:val="00EC520E"/>
    <w:rsid w:val="00EC522B"/>
    <w:rsid w:val="00EC7156"/>
    <w:rsid w:val="00EC7291"/>
    <w:rsid w:val="00EC7489"/>
    <w:rsid w:val="00EC7715"/>
    <w:rsid w:val="00ED0BC8"/>
    <w:rsid w:val="00ED2BCF"/>
    <w:rsid w:val="00ED2E32"/>
    <w:rsid w:val="00ED3331"/>
    <w:rsid w:val="00ED3B34"/>
    <w:rsid w:val="00ED3D9D"/>
    <w:rsid w:val="00ED4259"/>
    <w:rsid w:val="00ED4B97"/>
    <w:rsid w:val="00ED5870"/>
    <w:rsid w:val="00ED607B"/>
    <w:rsid w:val="00ED6869"/>
    <w:rsid w:val="00ED734C"/>
    <w:rsid w:val="00EE015B"/>
    <w:rsid w:val="00EE0400"/>
    <w:rsid w:val="00EE1247"/>
    <w:rsid w:val="00EE141A"/>
    <w:rsid w:val="00EE217A"/>
    <w:rsid w:val="00EE2337"/>
    <w:rsid w:val="00EE353D"/>
    <w:rsid w:val="00EE42D5"/>
    <w:rsid w:val="00EE4433"/>
    <w:rsid w:val="00EE532F"/>
    <w:rsid w:val="00EE56A1"/>
    <w:rsid w:val="00EE5902"/>
    <w:rsid w:val="00EE68EE"/>
    <w:rsid w:val="00EE6B8C"/>
    <w:rsid w:val="00EE7669"/>
    <w:rsid w:val="00EF0A9F"/>
    <w:rsid w:val="00EF0FE4"/>
    <w:rsid w:val="00EF18DE"/>
    <w:rsid w:val="00EF1D17"/>
    <w:rsid w:val="00EF2F86"/>
    <w:rsid w:val="00EF30FD"/>
    <w:rsid w:val="00EF3394"/>
    <w:rsid w:val="00EF33F2"/>
    <w:rsid w:val="00EF427A"/>
    <w:rsid w:val="00EF47AC"/>
    <w:rsid w:val="00EF4DB7"/>
    <w:rsid w:val="00EF5868"/>
    <w:rsid w:val="00EF5A9E"/>
    <w:rsid w:val="00EF5D44"/>
    <w:rsid w:val="00EF5E0A"/>
    <w:rsid w:val="00EF61F1"/>
    <w:rsid w:val="00EF656E"/>
    <w:rsid w:val="00EF66A4"/>
    <w:rsid w:val="00EF6DB8"/>
    <w:rsid w:val="00EF71E3"/>
    <w:rsid w:val="00EF7271"/>
    <w:rsid w:val="00EF73B9"/>
    <w:rsid w:val="00EF7427"/>
    <w:rsid w:val="00EF7E9E"/>
    <w:rsid w:val="00F00C9D"/>
    <w:rsid w:val="00F010C1"/>
    <w:rsid w:val="00F0143A"/>
    <w:rsid w:val="00F01AA7"/>
    <w:rsid w:val="00F01E60"/>
    <w:rsid w:val="00F01EC9"/>
    <w:rsid w:val="00F023A2"/>
    <w:rsid w:val="00F037FD"/>
    <w:rsid w:val="00F03B48"/>
    <w:rsid w:val="00F04185"/>
    <w:rsid w:val="00F04864"/>
    <w:rsid w:val="00F049AC"/>
    <w:rsid w:val="00F04BB5"/>
    <w:rsid w:val="00F052B5"/>
    <w:rsid w:val="00F05316"/>
    <w:rsid w:val="00F054F0"/>
    <w:rsid w:val="00F0584D"/>
    <w:rsid w:val="00F05BC8"/>
    <w:rsid w:val="00F0634C"/>
    <w:rsid w:val="00F06BF0"/>
    <w:rsid w:val="00F10107"/>
    <w:rsid w:val="00F11103"/>
    <w:rsid w:val="00F11150"/>
    <w:rsid w:val="00F11252"/>
    <w:rsid w:val="00F116E6"/>
    <w:rsid w:val="00F11C45"/>
    <w:rsid w:val="00F12634"/>
    <w:rsid w:val="00F12B88"/>
    <w:rsid w:val="00F132B4"/>
    <w:rsid w:val="00F15294"/>
    <w:rsid w:val="00F152B2"/>
    <w:rsid w:val="00F15D4C"/>
    <w:rsid w:val="00F16208"/>
    <w:rsid w:val="00F16F60"/>
    <w:rsid w:val="00F17B9F"/>
    <w:rsid w:val="00F202A7"/>
    <w:rsid w:val="00F21509"/>
    <w:rsid w:val="00F215B5"/>
    <w:rsid w:val="00F21A8E"/>
    <w:rsid w:val="00F21C4A"/>
    <w:rsid w:val="00F21C9B"/>
    <w:rsid w:val="00F23299"/>
    <w:rsid w:val="00F2340F"/>
    <w:rsid w:val="00F2403D"/>
    <w:rsid w:val="00F24363"/>
    <w:rsid w:val="00F24875"/>
    <w:rsid w:val="00F24BA7"/>
    <w:rsid w:val="00F24E98"/>
    <w:rsid w:val="00F256DD"/>
    <w:rsid w:val="00F26BA0"/>
    <w:rsid w:val="00F26EF4"/>
    <w:rsid w:val="00F2764A"/>
    <w:rsid w:val="00F27A23"/>
    <w:rsid w:val="00F27B20"/>
    <w:rsid w:val="00F27FAE"/>
    <w:rsid w:val="00F300C9"/>
    <w:rsid w:val="00F306A7"/>
    <w:rsid w:val="00F3102D"/>
    <w:rsid w:val="00F3111B"/>
    <w:rsid w:val="00F315FE"/>
    <w:rsid w:val="00F3174C"/>
    <w:rsid w:val="00F3196F"/>
    <w:rsid w:val="00F31C85"/>
    <w:rsid w:val="00F326FE"/>
    <w:rsid w:val="00F327FC"/>
    <w:rsid w:val="00F33703"/>
    <w:rsid w:val="00F34292"/>
    <w:rsid w:val="00F35764"/>
    <w:rsid w:val="00F35AC3"/>
    <w:rsid w:val="00F36192"/>
    <w:rsid w:val="00F4086C"/>
    <w:rsid w:val="00F408F7"/>
    <w:rsid w:val="00F40A6D"/>
    <w:rsid w:val="00F4234F"/>
    <w:rsid w:val="00F42F93"/>
    <w:rsid w:val="00F43D08"/>
    <w:rsid w:val="00F44A41"/>
    <w:rsid w:val="00F45107"/>
    <w:rsid w:val="00F453AD"/>
    <w:rsid w:val="00F45445"/>
    <w:rsid w:val="00F4559C"/>
    <w:rsid w:val="00F45820"/>
    <w:rsid w:val="00F45E62"/>
    <w:rsid w:val="00F45F3E"/>
    <w:rsid w:val="00F4655E"/>
    <w:rsid w:val="00F472F6"/>
    <w:rsid w:val="00F50825"/>
    <w:rsid w:val="00F50C21"/>
    <w:rsid w:val="00F50F6A"/>
    <w:rsid w:val="00F51476"/>
    <w:rsid w:val="00F51ADB"/>
    <w:rsid w:val="00F51CB8"/>
    <w:rsid w:val="00F52ADB"/>
    <w:rsid w:val="00F53420"/>
    <w:rsid w:val="00F53975"/>
    <w:rsid w:val="00F54A71"/>
    <w:rsid w:val="00F5506A"/>
    <w:rsid w:val="00F55EBA"/>
    <w:rsid w:val="00F56A34"/>
    <w:rsid w:val="00F57A58"/>
    <w:rsid w:val="00F57C7E"/>
    <w:rsid w:val="00F62B96"/>
    <w:rsid w:val="00F63604"/>
    <w:rsid w:val="00F63669"/>
    <w:rsid w:val="00F639B3"/>
    <w:rsid w:val="00F64875"/>
    <w:rsid w:val="00F64A48"/>
    <w:rsid w:val="00F64D11"/>
    <w:rsid w:val="00F654ED"/>
    <w:rsid w:val="00F65F8E"/>
    <w:rsid w:val="00F660C5"/>
    <w:rsid w:val="00F666D2"/>
    <w:rsid w:val="00F66896"/>
    <w:rsid w:val="00F67A69"/>
    <w:rsid w:val="00F67CC2"/>
    <w:rsid w:val="00F67EBD"/>
    <w:rsid w:val="00F70965"/>
    <w:rsid w:val="00F7193C"/>
    <w:rsid w:val="00F71D5D"/>
    <w:rsid w:val="00F7212D"/>
    <w:rsid w:val="00F721DC"/>
    <w:rsid w:val="00F72904"/>
    <w:rsid w:val="00F736BA"/>
    <w:rsid w:val="00F74A3A"/>
    <w:rsid w:val="00F75830"/>
    <w:rsid w:val="00F761DE"/>
    <w:rsid w:val="00F765C2"/>
    <w:rsid w:val="00F76C06"/>
    <w:rsid w:val="00F81B66"/>
    <w:rsid w:val="00F81E1F"/>
    <w:rsid w:val="00F83860"/>
    <w:rsid w:val="00F83B10"/>
    <w:rsid w:val="00F844E2"/>
    <w:rsid w:val="00F846D5"/>
    <w:rsid w:val="00F85040"/>
    <w:rsid w:val="00F8558A"/>
    <w:rsid w:val="00F87B6C"/>
    <w:rsid w:val="00F905FF"/>
    <w:rsid w:val="00F9071E"/>
    <w:rsid w:val="00F91466"/>
    <w:rsid w:val="00F92178"/>
    <w:rsid w:val="00F926ED"/>
    <w:rsid w:val="00F93734"/>
    <w:rsid w:val="00F93C73"/>
    <w:rsid w:val="00F94083"/>
    <w:rsid w:val="00F95D04"/>
    <w:rsid w:val="00F95D6C"/>
    <w:rsid w:val="00F96402"/>
    <w:rsid w:val="00F96D22"/>
    <w:rsid w:val="00F96F8A"/>
    <w:rsid w:val="00F97561"/>
    <w:rsid w:val="00FA0C18"/>
    <w:rsid w:val="00FA1034"/>
    <w:rsid w:val="00FA3C3A"/>
    <w:rsid w:val="00FA3E96"/>
    <w:rsid w:val="00FA4202"/>
    <w:rsid w:val="00FA5924"/>
    <w:rsid w:val="00FA6359"/>
    <w:rsid w:val="00FB00B2"/>
    <w:rsid w:val="00FB1617"/>
    <w:rsid w:val="00FB1A4C"/>
    <w:rsid w:val="00FB1D9D"/>
    <w:rsid w:val="00FB235E"/>
    <w:rsid w:val="00FB2B2C"/>
    <w:rsid w:val="00FB33C1"/>
    <w:rsid w:val="00FB494A"/>
    <w:rsid w:val="00FB4C09"/>
    <w:rsid w:val="00FB4D0E"/>
    <w:rsid w:val="00FB55B2"/>
    <w:rsid w:val="00FB5BF4"/>
    <w:rsid w:val="00FB5D85"/>
    <w:rsid w:val="00FB64F4"/>
    <w:rsid w:val="00FB658F"/>
    <w:rsid w:val="00FB6F22"/>
    <w:rsid w:val="00FB73E2"/>
    <w:rsid w:val="00FB76AF"/>
    <w:rsid w:val="00FB7AB1"/>
    <w:rsid w:val="00FC02DE"/>
    <w:rsid w:val="00FC0874"/>
    <w:rsid w:val="00FC3214"/>
    <w:rsid w:val="00FC3E93"/>
    <w:rsid w:val="00FC45BF"/>
    <w:rsid w:val="00FC504D"/>
    <w:rsid w:val="00FC50A4"/>
    <w:rsid w:val="00FC5A80"/>
    <w:rsid w:val="00FC6AF0"/>
    <w:rsid w:val="00FC6B9F"/>
    <w:rsid w:val="00FC6FCD"/>
    <w:rsid w:val="00FC7684"/>
    <w:rsid w:val="00FC7F01"/>
    <w:rsid w:val="00FC7FCF"/>
    <w:rsid w:val="00FD000E"/>
    <w:rsid w:val="00FD01FC"/>
    <w:rsid w:val="00FD106F"/>
    <w:rsid w:val="00FD22EF"/>
    <w:rsid w:val="00FD27CC"/>
    <w:rsid w:val="00FD2A7C"/>
    <w:rsid w:val="00FD2C5F"/>
    <w:rsid w:val="00FD306D"/>
    <w:rsid w:val="00FD359C"/>
    <w:rsid w:val="00FD36C7"/>
    <w:rsid w:val="00FD36D3"/>
    <w:rsid w:val="00FD3A45"/>
    <w:rsid w:val="00FD3B69"/>
    <w:rsid w:val="00FD4884"/>
    <w:rsid w:val="00FD4F7B"/>
    <w:rsid w:val="00FD57D7"/>
    <w:rsid w:val="00FD5A9A"/>
    <w:rsid w:val="00FD62B4"/>
    <w:rsid w:val="00FD632C"/>
    <w:rsid w:val="00FE1422"/>
    <w:rsid w:val="00FE1583"/>
    <w:rsid w:val="00FE173F"/>
    <w:rsid w:val="00FE2E34"/>
    <w:rsid w:val="00FE381D"/>
    <w:rsid w:val="00FE3864"/>
    <w:rsid w:val="00FE433C"/>
    <w:rsid w:val="00FE5DD3"/>
    <w:rsid w:val="00FE7CD5"/>
    <w:rsid w:val="00FE7D45"/>
    <w:rsid w:val="00FF08FD"/>
    <w:rsid w:val="00FF14E1"/>
    <w:rsid w:val="00FF16C8"/>
    <w:rsid w:val="00FF1BEB"/>
    <w:rsid w:val="00FF1E74"/>
    <w:rsid w:val="00FF204D"/>
    <w:rsid w:val="00FF4211"/>
    <w:rsid w:val="00FF432C"/>
    <w:rsid w:val="00FF5DC2"/>
    <w:rsid w:val="00FF640D"/>
    <w:rsid w:val="00FF710D"/>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2070"/>
  <w15:docId w15:val="{65659EA8-1148-42AF-B503-83EF969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Number"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C112D"/>
    <w:rPr>
      <w:rFonts w:ascii="Arial" w:hAnsi="Arial"/>
    </w:rPr>
  </w:style>
  <w:style w:type="paragraph" w:styleId="Heading1">
    <w:name w:val="heading 1"/>
    <w:aliases w:val="Section,Section1,Section2,Section11,H1,tchead,h1,don't use,Heading,No numbers,Head1,Heading apps,PA Chapter,Level 1,Part,Heading 10,Heading 101,Head11,Heading apps1,Heading 102,Head12,Heading apps2,Heading 103,Head13,Heading apps3,Heading 104"/>
    <w:next w:val="Bodycopy"/>
    <w:link w:val="Heading1Char"/>
    <w:autoRedefine/>
    <w:qFormat/>
    <w:rsid w:val="00741EA8"/>
    <w:pPr>
      <w:pageBreakBefore/>
      <w:numPr>
        <w:numId w:val="13"/>
      </w:numPr>
      <w:spacing w:before="120" w:after="180"/>
      <w:ind w:left="576" w:hanging="576"/>
      <w:outlineLvl w:val="0"/>
    </w:pPr>
    <w:rPr>
      <w:rFonts w:ascii="Arial Rounded MT Bold" w:hAnsi="Arial Rounded MT Bold" w:cs="Arial"/>
      <w:b/>
      <w:color w:val="092F57"/>
      <w:sz w:val="24"/>
      <w:szCs w:val="24"/>
    </w:rPr>
  </w:style>
  <w:style w:type="paragraph" w:styleId="Heading2">
    <w:name w:val="heading 2"/>
    <w:aliases w:val="H2,Heading B,H21,H22,H23,H211,H221,h2,A,B,C,hello,style2,A.B.C.,appendix heading 2,Heading2-bio,Career Exp.,Attribute Heading 2,Bold 14,L2,l2,I2,Courseware #,2nd level,2,Header 2,H24,H212,H222,H231,H2111,H2211,H25,H213,H223,H232,H2112,H2212,21"/>
    <w:next w:val="Bodycopy"/>
    <w:link w:val="Heading2Char"/>
    <w:autoRedefine/>
    <w:qFormat/>
    <w:rsid w:val="00270473"/>
    <w:pPr>
      <w:keepNext/>
      <w:numPr>
        <w:ilvl w:val="1"/>
        <w:numId w:val="13"/>
      </w:numPr>
      <w:spacing w:before="360" w:after="120"/>
      <w:ind w:left="0" w:firstLine="0"/>
      <w:outlineLvl w:val="1"/>
    </w:pPr>
    <w:rPr>
      <w:rFonts w:ascii="Arial Rounded MT Bold" w:eastAsia="Times" w:hAnsi="Arial Rounded MT Bold"/>
      <w:b/>
      <w:color w:val="092F57"/>
      <w:lang w:val="en-GB"/>
    </w:rPr>
  </w:style>
  <w:style w:type="paragraph" w:styleId="Heading3">
    <w:name w:val="heading 3"/>
    <w:next w:val="Bodycopy"/>
    <w:link w:val="Heading3Char"/>
    <w:autoRedefine/>
    <w:qFormat/>
    <w:rsid w:val="0032320B"/>
    <w:pPr>
      <w:keepNext/>
      <w:numPr>
        <w:ilvl w:val="2"/>
        <w:numId w:val="13"/>
      </w:numPr>
      <w:spacing w:before="240" w:after="120"/>
      <w:ind w:hanging="1080"/>
      <w:outlineLvl w:val="2"/>
    </w:pPr>
    <w:rPr>
      <w:rFonts w:ascii="Arial Rounded MT Bold" w:hAnsi="Arial Rounded MT Bold" w:cs="Arial"/>
      <w:b/>
      <w:color w:val="092F57"/>
      <w:lang w:val="en-GB"/>
    </w:rPr>
  </w:style>
  <w:style w:type="paragraph" w:styleId="Heading4">
    <w:name w:val="heading 4"/>
    <w:next w:val="Bodycopy"/>
    <w:link w:val="Heading4Char"/>
    <w:qFormat/>
    <w:rsid w:val="00F66896"/>
    <w:pPr>
      <w:keepNext/>
      <w:numPr>
        <w:ilvl w:val="3"/>
        <w:numId w:val="13"/>
      </w:numPr>
      <w:spacing w:before="180" w:after="120"/>
      <w:outlineLvl w:val="3"/>
    </w:pPr>
    <w:rPr>
      <w:rFonts w:ascii="Arial Bold" w:hAnsi="Arial Bold"/>
      <w:b/>
      <w:i/>
      <w:sz w:val="18"/>
      <w:szCs w:val="18"/>
    </w:rPr>
  </w:style>
  <w:style w:type="paragraph" w:styleId="Heading5">
    <w:name w:val="heading 5"/>
    <w:basedOn w:val="Normal"/>
    <w:next w:val="Bodycopy"/>
    <w:qFormat/>
    <w:rsid w:val="009C0668"/>
    <w:pPr>
      <w:keepNext/>
      <w:numPr>
        <w:ilvl w:val="4"/>
        <w:numId w:val="13"/>
      </w:numPr>
      <w:spacing w:before="180"/>
      <w:outlineLvl w:val="4"/>
    </w:pPr>
    <w:rPr>
      <w:i/>
      <w:sz w:val="18"/>
    </w:rPr>
  </w:style>
  <w:style w:type="paragraph" w:styleId="Heading6">
    <w:name w:val="heading 6"/>
    <w:basedOn w:val="Normal"/>
    <w:next w:val="Normal"/>
    <w:qFormat/>
    <w:rsid w:val="00726958"/>
    <w:pPr>
      <w:numPr>
        <w:ilvl w:val="5"/>
        <w:numId w:val="13"/>
      </w:numPr>
      <w:outlineLvl w:val="5"/>
    </w:pPr>
    <w:rPr>
      <w:i/>
    </w:rPr>
  </w:style>
  <w:style w:type="paragraph" w:styleId="Heading7">
    <w:name w:val="heading 7"/>
    <w:basedOn w:val="Normal"/>
    <w:next w:val="Normal"/>
    <w:qFormat/>
    <w:rsid w:val="00726958"/>
    <w:pPr>
      <w:numPr>
        <w:ilvl w:val="6"/>
        <w:numId w:val="13"/>
      </w:numPr>
      <w:outlineLvl w:val="6"/>
    </w:pPr>
    <w:rPr>
      <w:rFonts w:ascii="Times New Roman" w:hAnsi="Times New Roman"/>
      <w:i/>
    </w:rPr>
  </w:style>
  <w:style w:type="paragraph" w:styleId="Heading8">
    <w:name w:val="heading 8"/>
    <w:basedOn w:val="Normal"/>
    <w:next w:val="Normal"/>
    <w:qFormat/>
    <w:rsid w:val="00726958"/>
    <w:pPr>
      <w:numPr>
        <w:ilvl w:val="7"/>
        <w:numId w:val="13"/>
      </w:numPr>
      <w:outlineLvl w:val="7"/>
    </w:pPr>
    <w:rPr>
      <w:rFonts w:ascii="Times New Roman" w:hAnsi="Times New Roman"/>
      <w:i/>
    </w:rPr>
  </w:style>
  <w:style w:type="paragraph" w:styleId="Heading9">
    <w:name w:val="heading 9"/>
    <w:basedOn w:val="Normal"/>
    <w:next w:val="Normal"/>
    <w:qFormat/>
    <w:rsid w:val="00726958"/>
    <w:pPr>
      <w:numPr>
        <w:ilvl w:val="8"/>
        <w:numId w:val="13"/>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2406B5"/>
    <w:pPr>
      <w:spacing w:after="120" w:line="240" w:lineRule="exact"/>
    </w:pPr>
    <w:rPr>
      <w:rFonts w:ascii="Arial" w:eastAsia="Times" w:hAnsi="Arial"/>
      <w:b/>
      <w:color w:val="000000"/>
    </w:rPr>
  </w:style>
  <w:style w:type="paragraph" w:styleId="Footer">
    <w:name w:val="footer"/>
    <w:basedOn w:val="Normal"/>
    <w:link w:val="FooterChar"/>
    <w:uiPriority w:val="99"/>
    <w:rsid w:val="00A70DB8"/>
    <w:pPr>
      <w:tabs>
        <w:tab w:val="center" w:pos="4680"/>
        <w:tab w:val="right" w:pos="9360"/>
      </w:tabs>
    </w:pPr>
    <w:rPr>
      <w:snapToGrid w:val="0"/>
      <w:sz w:val="16"/>
    </w:rPr>
  </w:style>
  <w:style w:type="character" w:styleId="Hyperlink">
    <w:name w:val="Hyperlink"/>
    <w:basedOn w:val="DefaultParagraphFont"/>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8"/>
      </w:numPr>
      <w:spacing w:after="60"/>
      <w:ind w:left="720"/>
    </w:pPr>
    <w:rPr>
      <w:sz w:val="20"/>
    </w:rPr>
  </w:style>
  <w:style w:type="paragraph" w:customStyle="1" w:styleId="Tablebullet">
    <w:name w:val="Tablebullet"/>
    <w:basedOn w:val="Normal"/>
    <w:rsid w:val="006D1A78"/>
    <w:pPr>
      <w:numPr>
        <w:numId w:val="31"/>
      </w:numPr>
      <w:spacing w:before="20" w:after="20"/>
    </w:pPr>
    <w:rPr>
      <w:sz w:val="18"/>
    </w:rPr>
  </w:style>
  <w:style w:type="paragraph" w:styleId="TOC1">
    <w:name w:val="toc 1"/>
    <w:basedOn w:val="Normal"/>
    <w:next w:val="Normal"/>
    <w:autoRedefine/>
    <w:uiPriority w:val="39"/>
    <w:rsid w:val="00936098"/>
    <w:pPr>
      <w:tabs>
        <w:tab w:val="left" w:pos="360"/>
        <w:tab w:val="right" w:leader="dot" w:pos="9360"/>
        <w:tab w:val="right" w:pos="10080"/>
      </w:tabs>
      <w:spacing w:before="120"/>
    </w:pPr>
    <w:rPr>
      <w:rFonts w:ascii="Arial Rounded MT Bold" w:hAnsi="Arial Rounded MT Bold" w:cs="Arial"/>
      <w:b/>
      <w:noProof/>
      <w:sz w:val="22"/>
    </w:rPr>
  </w:style>
  <w:style w:type="paragraph" w:styleId="TOC2">
    <w:name w:val="toc 2"/>
    <w:basedOn w:val="Normal"/>
    <w:next w:val="Normal"/>
    <w:autoRedefine/>
    <w:uiPriority w:val="39"/>
    <w:rsid w:val="00A41C4A"/>
    <w:pPr>
      <w:tabs>
        <w:tab w:val="left" w:pos="360"/>
        <w:tab w:val="left" w:pos="800"/>
        <w:tab w:val="right" w:leader="dot" w:pos="9360"/>
      </w:tabs>
      <w:ind w:left="360"/>
    </w:pPr>
    <w:rPr>
      <w:noProof/>
    </w:rPr>
  </w:style>
  <w:style w:type="paragraph" w:styleId="TOC3">
    <w:name w:val="toc 3"/>
    <w:basedOn w:val="Normal"/>
    <w:next w:val="Normal"/>
    <w:autoRedefine/>
    <w:uiPriority w:val="39"/>
    <w:rsid w:val="00F4655E"/>
    <w:pPr>
      <w:tabs>
        <w:tab w:val="right" w:pos="2160"/>
        <w:tab w:val="right" w:leader="dot" w:pos="9360"/>
      </w:tabs>
      <w:ind w:left="763"/>
    </w:pPr>
  </w:style>
  <w:style w:type="paragraph" w:styleId="TOC4">
    <w:name w:val="toc 4"/>
    <w:basedOn w:val="Normal"/>
    <w:next w:val="Normal"/>
    <w:uiPriority w:val="39"/>
    <w:rsid w:val="003F14D8"/>
    <w:pPr>
      <w:tabs>
        <w:tab w:val="left" w:pos="2088"/>
        <w:tab w:val="right" w:leader="dot" w:pos="9360"/>
      </w:tabs>
      <w:ind w:left="1325"/>
    </w:pPr>
    <w:rPr>
      <w:sz w:val="18"/>
    </w:rPr>
  </w:style>
  <w:style w:type="paragraph" w:styleId="TOC5">
    <w:name w:val="toc 5"/>
    <w:basedOn w:val="Normal"/>
    <w:next w:val="Normal"/>
    <w:semiHidden/>
    <w:rsid w:val="00176BE9"/>
    <w:pPr>
      <w:ind w:left="800"/>
    </w:pPr>
    <w:rPr>
      <w:sz w:val="18"/>
    </w:rPr>
  </w:style>
  <w:style w:type="paragraph" w:styleId="TOC6">
    <w:name w:val="toc 6"/>
    <w:basedOn w:val="Normal"/>
    <w:next w:val="Normal"/>
    <w:semiHidden/>
    <w:rsid w:val="00176BE9"/>
    <w:pPr>
      <w:ind w:left="1000"/>
    </w:pPr>
    <w:rPr>
      <w:sz w:val="18"/>
    </w:rPr>
  </w:style>
  <w:style w:type="paragraph" w:styleId="TOC7">
    <w:name w:val="toc 7"/>
    <w:basedOn w:val="Normal"/>
    <w:next w:val="Normal"/>
    <w:semiHidden/>
    <w:rsid w:val="00176BE9"/>
    <w:pPr>
      <w:ind w:left="1200"/>
    </w:pPr>
    <w:rPr>
      <w:sz w:val="18"/>
    </w:rPr>
  </w:style>
  <w:style w:type="paragraph" w:styleId="TOC8">
    <w:name w:val="toc 8"/>
    <w:basedOn w:val="Normal"/>
    <w:next w:val="Normal"/>
    <w:semiHidden/>
    <w:rsid w:val="00176BE9"/>
    <w:pPr>
      <w:ind w:left="1400"/>
    </w:pPr>
    <w:rPr>
      <w:sz w:val="18"/>
    </w:rPr>
  </w:style>
  <w:style w:type="paragraph" w:styleId="TOC9">
    <w:name w:val="toc 9"/>
    <w:basedOn w:val="Normal"/>
    <w:next w:val="Normal"/>
    <w:semiHidden/>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5B2CA5"/>
    <w:pPr>
      <w:pageBreakBefore/>
      <w:spacing w:after="240"/>
    </w:pPr>
    <w:rPr>
      <w:rFonts w:ascii="Arial Rounded MT Bold" w:hAnsi="Arial Rounded MT Bold" w:cs="Arial"/>
      <w:b/>
      <w:color w:val="092F57"/>
      <w:sz w:val="24"/>
      <w:szCs w:val="24"/>
    </w:rPr>
  </w:style>
  <w:style w:type="paragraph" w:customStyle="1" w:styleId="Bullet10">
    <w:name w:val="Bullet 1"/>
    <w:basedOn w:val="ListBullet"/>
    <w:autoRedefine/>
    <w:qFormat/>
    <w:rsid w:val="009F749C"/>
    <w:pPr>
      <w:tabs>
        <w:tab w:val="clear" w:pos="162"/>
        <w:tab w:val="num" w:pos="360"/>
      </w:tabs>
      <w:spacing w:after="60"/>
      <w:ind w:left="360" w:hanging="360"/>
    </w:p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3F14D8"/>
    <w:pPr>
      <w:numPr>
        <w:numId w:val="23"/>
      </w:numPr>
      <w:ind w:left="1080"/>
    </w:pPr>
  </w:style>
  <w:style w:type="paragraph" w:customStyle="1" w:styleId="Tablehead1">
    <w:name w:val="Tablehead1"/>
    <w:basedOn w:val="Normal"/>
    <w:qFormat/>
    <w:rsid w:val="000E616D"/>
    <w:pPr>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2"/>
      </w:numPr>
    </w:pPr>
  </w:style>
  <w:style w:type="numbering" w:styleId="1ai">
    <w:name w:val="Outline List 1"/>
    <w:basedOn w:val="NoList"/>
    <w:semiHidden/>
    <w:rsid w:val="00176BE9"/>
    <w:pPr>
      <w:numPr>
        <w:numId w:val="3"/>
      </w:numPr>
    </w:pPr>
  </w:style>
  <w:style w:type="numbering" w:styleId="ArticleSection">
    <w:name w:val="Outline List 3"/>
    <w:basedOn w:val="NoList"/>
    <w:semiHidden/>
    <w:rsid w:val="00176BE9"/>
    <w:pPr>
      <w:numPr>
        <w:numId w:val="4"/>
      </w:numPr>
    </w:pPr>
  </w:style>
  <w:style w:type="character" w:customStyle="1" w:styleId="BodyTextIndentChar">
    <w:name w:val="Body Text Indent Char"/>
    <w:basedOn w:val="DefaultParagraphFont"/>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DE52B6"/>
    <w:pPr>
      <w:spacing w:after="240"/>
    </w:pPr>
    <w:rPr>
      <w:rFonts w:ascii="Arial Rounded MT Bold" w:hAnsi="Arial Rounded MT Bold" w:cs="Arial"/>
      <w:b/>
      <w:color w:val="092F57"/>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basedOn w:val="DefaultParagraphFont"/>
    <w:uiPriority w:val="99"/>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basedOn w:val="DefaultParagraphFont"/>
    <w:semiHidden/>
    <w:rsid w:val="00176BE9"/>
    <w:rPr>
      <w:i/>
      <w:iCs/>
    </w:rPr>
  </w:style>
  <w:style w:type="character" w:styleId="HTMLCode">
    <w:name w:val="HTML Code"/>
    <w:basedOn w:val="DefaultParagraphFont"/>
    <w:semiHidden/>
    <w:rsid w:val="00176BE9"/>
    <w:rPr>
      <w:rFonts w:ascii="Courier New" w:hAnsi="Courier New" w:cs="Courier New"/>
      <w:sz w:val="20"/>
      <w:szCs w:val="20"/>
    </w:rPr>
  </w:style>
  <w:style w:type="character" w:styleId="HTMLDefinition">
    <w:name w:val="HTML Definition"/>
    <w:basedOn w:val="DefaultParagraphFont"/>
    <w:semiHidden/>
    <w:rsid w:val="00176BE9"/>
    <w:rPr>
      <w:i/>
      <w:iCs/>
    </w:rPr>
  </w:style>
  <w:style w:type="character" w:styleId="HTMLKeyboard">
    <w:name w:val="HTML Keyboard"/>
    <w:basedOn w:val="DefaultParagraphFont"/>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basedOn w:val="DefaultParagraphFont"/>
    <w:semiHidden/>
    <w:rsid w:val="00176BE9"/>
    <w:rPr>
      <w:rFonts w:ascii="Courier New" w:hAnsi="Courier New" w:cs="Courier New"/>
    </w:rPr>
  </w:style>
  <w:style w:type="character" w:styleId="HTMLTypewriter">
    <w:name w:val="HTML Typewriter"/>
    <w:basedOn w:val="DefaultParagraphFont"/>
    <w:semiHidden/>
    <w:rsid w:val="00176BE9"/>
    <w:rPr>
      <w:rFonts w:ascii="Courier New" w:hAnsi="Courier New" w:cs="Courier New"/>
      <w:sz w:val="20"/>
      <w:szCs w:val="20"/>
    </w:rPr>
  </w:style>
  <w:style w:type="character" w:styleId="HTMLVariable">
    <w:name w:val="HTML Variable"/>
    <w:basedOn w:val="DefaultParagraphFont"/>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19"/>
      </w:numPr>
      <w:spacing w:after="0"/>
    </w:pPr>
  </w:style>
  <w:style w:type="paragraph" w:styleId="List2">
    <w:name w:val="List 2"/>
    <w:basedOn w:val="Bodycopy"/>
    <w:autoRedefine/>
    <w:semiHidden/>
    <w:qFormat/>
    <w:rsid w:val="00E33D7E"/>
    <w:pPr>
      <w:numPr>
        <w:numId w:val="14"/>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2535CD"/>
    <w:pPr>
      <w:tabs>
        <w:tab w:val="num" w:pos="162"/>
      </w:tabs>
      <w:spacing w:after="0"/>
      <w:ind w:left="162" w:hanging="162"/>
    </w:pPr>
  </w:style>
  <w:style w:type="paragraph" w:styleId="ListBullet2">
    <w:name w:val="List Bullet 2"/>
    <w:basedOn w:val="Bodycopy"/>
    <w:autoRedefine/>
    <w:semiHidden/>
    <w:rsid w:val="007350B6"/>
    <w:pPr>
      <w:numPr>
        <w:numId w:val="6"/>
      </w:numPr>
      <w:spacing w:after="0"/>
    </w:pPr>
    <w:rPr>
      <w:rFonts w:cs="Arial"/>
      <w:bCs/>
      <w:sz w:val="18"/>
      <w:szCs w:val="18"/>
    </w:rPr>
  </w:style>
  <w:style w:type="paragraph" w:styleId="ListBullet3">
    <w:name w:val="List Bullet 3"/>
    <w:basedOn w:val="Normal"/>
    <w:autoRedefine/>
    <w:semiHidden/>
    <w:rsid w:val="00176BE9"/>
    <w:pPr>
      <w:numPr>
        <w:numId w:val="7"/>
      </w:numPr>
    </w:pPr>
  </w:style>
  <w:style w:type="paragraph" w:styleId="ListBullet4">
    <w:name w:val="List Bullet 4"/>
    <w:basedOn w:val="Normal"/>
    <w:autoRedefine/>
    <w:semiHidden/>
    <w:rsid w:val="00176BE9"/>
    <w:pPr>
      <w:numPr>
        <w:numId w:val="8"/>
      </w:numPr>
    </w:pPr>
  </w:style>
  <w:style w:type="paragraph" w:styleId="ListBullet5">
    <w:name w:val="List Bullet 5"/>
    <w:basedOn w:val="Normal"/>
    <w:autoRedefine/>
    <w:semiHidden/>
    <w:rsid w:val="00176BE9"/>
    <w:pPr>
      <w:numPr>
        <w:numId w:val="9"/>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spacing w:after="60"/>
      <w:ind w:left="360" w:hanging="360"/>
    </w:pPr>
  </w:style>
  <w:style w:type="paragraph" w:styleId="ListNumber2">
    <w:name w:val="List Number 2"/>
    <w:basedOn w:val="Normal"/>
    <w:qFormat/>
    <w:rsid w:val="00800EEB"/>
    <w:pPr>
      <w:numPr>
        <w:numId w:val="22"/>
      </w:numPr>
      <w:spacing w:after="60"/>
    </w:pPr>
  </w:style>
  <w:style w:type="paragraph" w:styleId="ListNumber3">
    <w:name w:val="List Number 3"/>
    <w:basedOn w:val="Normal"/>
    <w:semiHidden/>
    <w:rsid w:val="00176BE9"/>
    <w:pPr>
      <w:numPr>
        <w:numId w:val="10"/>
      </w:numPr>
    </w:pPr>
  </w:style>
  <w:style w:type="paragraph" w:styleId="ListNumber4">
    <w:name w:val="List Number 4"/>
    <w:basedOn w:val="Normal"/>
    <w:semiHidden/>
    <w:rsid w:val="00176BE9"/>
    <w:pPr>
      <w:numPr>
        <w:numId w:val="11"/>
      </w:numPr>
    </w:pPr>
  </w:style>
  <w:style w:type="paragraph" w:styleId="ListNumber5">
    <w:name w:val="List Number 5"/>
    <w:basedOn w:val="Normal"/>
    <w:semiHidden/>
    <w:rsid w:val="00176BE9"/>
    <w:pPr>
      <w:numPr>
        <w:numId w:val="12"/>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176BE9"/>
    <w:rPr>
      <w:rFonts w:ascii="Times New Roman" w:hAnsi="Times New Roman"/>
      <w:sz w:val="24"/>
      <w:szCs w:val="24"/>
    </w:rPr>
  </w:style>
  <w:style w:type="paragraph" w:styleId="NormalIndent">
    <w:name w:val="Normal Indent"/>
    <w:basedOn w:val="Normal"/>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numbering" w:customStyle="1" w:styleId="Style3">
    <w:name w:val="Style3"/>
    <w:uiPriority w:val="99"/>
    <w:rsid w:val="008A21B2"/>
    <w:pPr>
      <w:numPr>
        <w:numId w:val="26"/>
      </w:numPr>
    </w:pPr>
  </w:style>
  <w:style w:type="paragraph" w:customStyle="1" w:styleId="ListNumberLast">
    <w:name w:val="List Number Last"/>
    <w:basedOn w:val="ListNumber"/>
    <w:link w:val="ListNumberLastChar"/>
    <w:rsid w:val="00187FEC"/>
  </w:style>
  <w:style w:type="character" w:customStyle="1" w:styleId="Heading1Char">
    <w:name w:val="Heading 1 Char"/>
    <w:aliases w:val="Section Char,Section1 Char,Section2 Char,Section11 Char,H1 Char,tchead Char,h1 Char,don't use Char,Heading Char,No numbers Char,Head1 Char,Heading apps Char,PA Chapter Char,Level 1 Char,Part Char,Heading 10 Char,Heading 101 Char"/>
    <w:basedOn w:val="DefaultParagraphFont"/>
    <w:link w:val="Heading1"/>
    <w:rsid w:val="00741EA8"/>
    <w:rPr>
      <w:rFonts w:ascii="Arial Rounded MT Bold" w:hAnsi="Arial Rounded MT Bold" w:cs="Arial"/>
      <w:b/>
      <w:color w:val="092F57"/>
      <w:sz w:val="24"/>
      <w:szCs w:val="24"/>
    </w:rPr>
  </w:style>
  <w:style w:type="character" w:customStyle="1" w:styleId="ListNumberChar">
    <w:name w:val="List Number Char"/>
    <w:basedOn w:val="DefaultParagraphFont"/>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20"/>
      </w:numPr>
      <w:spacing w:after="60"/>
    </w:pPr>
    <w:rPr>
      <w:szCs w:val="16"/>
    </w:rPr>
  </w:style>
  <w:style w:type="paragraph" w:customStyle="1" w:styleId="numbullet2">
    <w:name w:val="numbullet2"/>
    <w:basedOn w:val="Normal"/>
    <w:rsid w:val="00E24955"/>
    <w:pPr>
      <w:numPr>
        <w:numId w:val="21"/>
      </w:numPr>
      <w:spacing w:after="60"/>
      <w:ind w:left="1080"/>
    </w:pPr>
    <w:rPr>
      <w:szCs w:val="16"/>
    </w:rPr>
  </w:style>
  <w:style w:type="paragraph" w:customStyle="1" w:styleId="numbullet3">
    <w:name w:val="numbullet3"/>
    <w:basedOn w:val="Normal"/>
    <w:rsid w:val="000C7704"/>
    <w:pPr>
      <w:spacing w:after="60"/>
      <w:ind w:left="1440" w:hanging="360"/>
    </w:pPr>
    <w:rPr>
      <w:szCs w:val="16"/>
    </w:rPr>
  </w:style>
  <w:style w:type="paragraph" w:customStyle="1" w:styleId="DocumentInformation">
    <w:name w:val="Document Information"/>
    <w:link w:val="DocumentInformationChar"/>
    <w:autoRedefine/>
    <w:rsid w:val="005B2CA5"/>
    <w:pPr>
      <w:keepNext/>
      <w:spacing w:before="240" w:after="180"/>
    </w:pPr>
    <w:rPr>
      <w:rFonts w:ascii="Arial Rounded MT Bold" w:hAnsi="Arial Rounded MT Bold" w:cs="Arial"/>
      <w:b/>
      <w:color w:val="092F57"/>
      <w:szCs w:val="22"/>
    </w:rPr>
  </w:style>
  <w:style w:type="character" w:customStyle="1" w:styleId="DocumentInformationChar">
    <w:name w:val="Document Information Char"/>
    <w:basedOn w:val="DefaultParagraphFont"/>
    <w:link w:val="DocumentInformation"/>
    <w:rsid w:val="005B2CA5"/>
    <w:rPr>
      <w:rFonts w:ascii="Arial Rounded MT Bold" w:hAnsi="Arial Rounded MT Bold" w:cs="Arial"/>
      <w:b/>
      <w:color w:val="092F57"/>
      <w:szCs w:val="22"/>
    </w:rPr>
  </w:style>
  <w:style w:type="paragraph" w:customStyle="1" w:styleId="Bodycopy">
    <w:name w:val="Body copy"/>
    <w:link w:val="BodycopyChar"/>
    <w:qFormat/>
    <w:rsid w:val="009C0668"/>
    <w:pPr>
      <w:spacing w:after="120"/>
    </w:pPr>
    <w:rPr>
      <w:rFonts w:ascii="Arial" w:eastAsia="Times" w:hAnsi="Arial"/>
      <w:color w:val="000000"/>
    </w:rPr>
  </w:style>
  <w:style w:type="character" w:customStyle="1" w:styleId="BodycopyChar">
    <w:name w:val="Body copy Char"/>
    <w:basedOn w:val="DefaultParagraphFont"/>
    <w:link w:val="Bodycopy"/>
    <w:rsid w:val="009C0668"/>
    <w:rPr>
      <w:rFonts w:ascii="Arial" w:eastAsia="Times" w:hAnsi="Arial"/>
      <w:color w:val="000000"/>
      <w:lang w:val="en-US" w:eastAsia="en-US" w:bidi="ar-SA"/>
    </w:rPr>
  </w:style>
  <w:style w:type="character" w:customStyle="1" w:styleId="FooterChar">
    <w:name w:val="Footer Char"/>
    <w:basedOn w:val="DefaultParagraphFont"/>
    <w:link w:val="Footer"/>
    <w:uiPriority w:val="99"/>
    <w:rsid w:val="00A70DB8"/>
    <w:rPr>
      <w:rFonts w:ascii="Arial" w:hAnsi="Arial"/>
      <w:snapToGrid w:val="0"/>
      <w:sz w:val="16"/>
    </w:rPr>
  </w:style>
  <w:style w:type="paragraph" w:customStyle="1" w:styleId="Projectname">
    <w:name w:val="Project name"/>
    <w:rsid w:val="000E616D"/>
    <w:pPr>
      <w:pageBreakBefore/>
      <w:spacing w:before="2400"/>
      <w:ind w:left="1440" w:firstLine="720"/>
    </w:pPr>
    <w:rPr>
      <w:color w:val="92D050"/>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basedOn w:val="DefaultParagraphFont"/>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basedOn w:val="DefaultParagraphFon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Normal"/>
    <w:next w:val="Bodycopy"/>
    <w:autoRedefine/>
    <w:rsid w:val="00E079C0"/>
    <w:pPr>
      <w:numPr>
        <w:numId w:val="5"/>
      </w:numPr>
      <w:spacing w:after="120"/>
    </w:pPr>
    <w:rPr>
      <w:rFonts w:eastAsia="Times"/>
      <w:color w:val="000000"/>
    </w:r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7"/>
      </w:numPr>
      <w:spacing w:after="120"/>
    </w:pPr>
  </w:style>
  <w:style w:type="numbering" w:customStyle="1" w:styleId="Style1">
    <w:name w:val="Style1"/>
    <w:uiPriority w:val="99"/>
    <w:rsid w:val="00E33D7E"/>
    <w:pPr>
      <w:numPr>
        <w:numId w:val="15"/>
      </w:numPr>
    </w:pPr>
  </w:style>
  <w:style w:type="numbering" w:customStyle="1" w:styleId="List1">
    <w:name w:val="List 1"/>
    <w:uiPriority w:val="99"/>
    <w:rsid w:val="00460FC2"/>
    <w:pPr>
      <w:numPr>
        <w:numId w:val="16"/>
      </w:numPr>
    </w:pPr>
  </w:style>
  <w:style w:type="character" w:customStyle="1" w:styleId="Heading3Char">
    <w:name w:val="Heading 3 Char"/>
    <w:basedOn w:val="DefaultParagraphFont"/>
    <w:link w:val="Heading3"/>
    <w:rsid w:val="0032320B"/>
    <w:rPr>
      <w:rFonts w:ascii="Arial Rounded MT Bold" w:hAnsi="Arial Rounded MT Bold" w:cs="Arial"/>
      <w:b/>
      <w:color w:val="092F57"/>
      <w:lang w:val="en-GB"/>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text">
    <w:name w:val="Tabletext"/>
    <w:basedOn w:val="Normal"/>
    <w:autoRedefine/>
    <w:qFormat/>
    <w:rsid w:val="00517CA3"/>
    <w:pPr>
      <w:spacing w:before="60" w:after="60"/>
    </w:pPr>
    <w:rPr>
      <w:rFonts w:cs="Arial"/>
      <w:sz w:val="18"/>
    </w:rPr>
  </w:style>
  <w:style w:type="paragraph" w:styleId="Header">
    <w:name w:val="header"/>
    <w:basedOn w:val="Normal"/>
    <w:link w:val="HeaderChar"/>
    <w:uiPriority w:val="99"/>
    <w:rsid w:val="007807A2"/>
    <w:pPr>
      <w:tabs>
        <w:tab w:val="center" w:pos="4680"/>
        <w:tab w:val="right" w:pos="9360"/>
      </w:tabs>
      <w:jc w:val="center"/>
    </w:pPr>
    <w:rPr>
      <w:rFonts w:ascii="Arial Bold" w:hAnsi="Arial Bold"/>
      <w:b/>
    </w:rPr>
  </w:style>
  <w:style w:type="character" w:customStyle="1" w:styleId="HeaderChar">
    <w:name w:val="Header Char"/>
    <w:basedOn w:val="DefaultParagraphFont"/>
    <w:link w:val="Header"/>
    <w:uiPriority w:val="99"/>
    <w:rsid w:val="007807A2"/>
    <w:rPr>
      <w:rFonts w:ascii="Arial Bold" w:hAnsi="Arial Bold"/>
      <w:b/>
    </w:rPr>
  </w:style>
  <w:style w:type="paragraph" w:customStyle="1" w:styleId="TableNumber">
    <w:name w:val="TableNumber"/>
    <w:basedOn w:val="Tablehead1"/>
    <w:next w:val="Bodycopy"/>
    <w:rsid w:val="008A21B2"/>
    <w:rPr>
      <w:color w:val="auto"/>
    </w:rPr>
  </w:style>
  <w:style w:type="paragraph" w:customStyle="1" w:styleId="TableList">
    <w:name w:val="TableList"/>
    <w:basedOn w:val="Normal"/>
    <w:rsid w:val="00C5738E"/>
    <w:pPr>
      <w:numPr>
        <w:numId w:val="28"/>
      </w:numPr>
      <w:spacing w:before="40"/>
      <w:ind w:hanging="216"/>
    </w:pPr>
    <w:rPr>
      <w:color w:val="0000FF"/>
      <w:sz w:val="18"/>
    </w:rPr>
  </w:style>
  <w:style w:type="paragraph" w:customStyle="1" w:styleId="Tablehead2">
    <w:name w:val="Tablehead2"/>
    <w:basedOn w:val="Tablehead1"/>
    <w:rsid w:val="00771AB1"/>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Normal"/>
    <w:rsid w:val="006D1A78"/>
    <w:pPr>
      <w:numPr>
        <w:numId w:val="24"/>
      </w:numPr>
      <w:spacing w:before="20" w:after="20"/>
      <w:ind w:left="418" w:hanging="216"/>
    </w:pPr>
    <w:rPr>
      <w:color w:val="0000FF"/>
      <w:sz w:val="18"/>
    </w:rPr>
  </w:style>
  <w:style w:type="paragraph" w:customStyle="1" w:styleId="FigureCaption">
    <w:name w:val="FigureCaption"/>
    <w:basedOn w:val="Bodycopy"/>
    <w:rsid w:val="008A21B2"/>
    <w:pPr>
      <w:numPr>
        <w:numId w:val="29"/>
      </w:numPr>
      <w:jc w:val="center"/>
    </w:pPr>
    <w:rPr>
      <w:b/>
      <w:sz w:val="18"/>
      <w:szCs w:val="18"/>
    </w:rPr>
  </w:style>
  <w:style w:type="numbering" w:customStyle="1" w:styleId="Style2">
    <w:name w:val="Style2"/>
    <w:uiPriority w:val="99"/>
    <w:rsid w:val="008A21B2"/>
    <w:pPr>
      <w:numPr>
        <w:numId w:val="25"/>
      </w:numPr>
    </w:pPr>
  </w:style>
  <w:style w:type="paragraph" w:customStyle="1" w:styleId="InstructionsBullet">
    <w:name w:val="InstructionsBullet"/>
    <w:basedOn w:val="Normal"/>
    <w:qFormat/>
    <w:rsid w:val="00C5738E"/>
    <w:pPr>
      <w:tabs>
        <w:tab w:val="num" w:pos="-3112"/>
      </w:tabs>
      <w:spacing w:after="60"/>
      <w:ind w:left="218" w:hanging="180"/>
    </w:pPr>
    <w:rPr>
      <w:rFonts w:eastAsia="Times"/>
      <w:color w:val="0000FF"/>
    </w:rPr>
  </w:style>
  <w:style w:type="numbering" w:customStyle="1" w:styleId="Style4">
    <w:name w:val="Style4"/>
    <w:uiPriority w:val="99"/>
    <w:rsid w:val="00417F17"/>
    <w:pPr>
      <w:numPr>
        <w:numId w:val="27"/>
      </w:numPr>
    </w:pPr>
  </w:style>
  <w:style w:type="numbering" w:customStyle="1" w:styleId="Style5">
    <w:name w:val="Style5"/>
    <w:uiPriority w:val="99"/>
    <w:rsid w:val="00417F17"/>
    <w:pPr>
      <w:numPr>
        <w:numId w:val="28"/>
      </w:numPr>
    </w:pPr>
  </w:style>
  <w:style w:type="paragraph" w:customStyle="1" w:styleId="FileName">
    <w:name w:val="FileName"/>
    <w:basedOn w:val="Bodycopy"/>
    <w:rsid w:val="00F92178"/>
    <w:rPr>
      <w:color w:val="auto"/>
    </w:rPr>
  </w:style>
  <w:style w:type="character" w:customStyle="1" w:styleId="Document2">
    <w:name w:val="Document 2"/>
    <w:basedOn w:val="DefaultParagraphFont"/>
    <w:rsid w:val="00B058AA"/>
    <w:rPr>
      <w:noProof w:val="0"/>
      <w:lang w:val="en-US"/>
    </w:rPr>
  </w:style>
  <w:style w:type="paragraph" w:customStyle="1" w:styleId="Notes">
    <w:name w:val="Notes"/>
    <w:basedOn w:val="Normal"/>
    <w:next w:val="Normal"/>
    <w:link w:val="NotesChar"/>
    <w:rsid w:val="00B058AA"/>
    <w:pPr>
      <w:spacing w:after="120"/>
    </w:pPr>
    <w:rPr>
      <w:rFonts w:ascii="Times New Roman" w:hAnsi="Times New Roman"/>
      <w:i/>
      <w:color w:val="0000FF"/>
      <w:sz w:val="18"/>
      <w:szCs w:val="18"/>
    </w:rPr>
  </w:style>
  <w:style w:type="paragraph" w:customStyle="1" w:styleId="Bullet1">
    <w:name w:val="Bullet1"/>
    <w:basedOn w:val="Normal"/>
    <w:rsid w:val="00B058AA"/>
    <w:pPr>
      <w:numPr>
        <w:numId w:val="30"/>
      </w:numPr>
      <w:spacing w:after="120"/>
    </w:pPr>
    <w:rPr>
      <w:rFonts w:ascii="Times New Roman" w:hAnsi="Times New Roman"/>
      <w:szCs w:val="24"/>
    </w:rPr>
  </w:style>
  <w:style w:type="character" w:customStyle="1" w:styleId="NotesChar">
    <w:name w:val="Notes Char"/>
    <w:basedOn w:val="DefaultParagraphFont"/>
    <w:link w:val="Notes"/>
    <w:rsid w:val="00B058AA"/>
    <w:rPr>
      <w:i/>
      <w:color w:val="0000FF"/>
      <w:sz w:val="18"/>
      <w:szCs w:val="18"/>
    </w:rPr>
  </w:style>
  <w:style w:type="paragraph" w:customStyle="1" w:styleId="TableText0">
    <w:name w:val="Table Text"/>
    <w:rsid w:val="003F710C"/>
    <w:pPr>
      <w:spacing w:before="40" w:after="20"/>
    </w:pPr>
    <w:rPr>
      <w:rFonts w:ascii="Arial" w:hAnsi="Arial"/>
      <w:color w:val="000000"/>
    </w:rPr>
  </w:style>
  <w:style w:type="paragraph" w:customStyle="1" w:styleId="ColumnName">
    <w:name w:val="Column Name"/>
    <w:next w:val="Normal"/>
    <w:rsid w:val="00997FDD"/>
    <w:pPr>
      <w:keepNext/>
      <w:widowControl w:val="0"/>
      <w:spacing w:line="240" w:lineRule="atLeast"/>
    </w:pPr>
    <w:rPr>
      <w:rFonts w:ascii="Arial" w:hAnsi="Arial"/>
      <w:b/>
    </w:rPr>
  </w:style>
  <w:style w:type="character" w:customStyle="1" w:styleId="InstructionsChar">
    <w:name w:val="Instructions Char"/>
    <w:basedOn w:val="DefaultParagraphFont"/>
    <w:link w:val="Instructions"/>
    <w:rsid w:val="00E716E8"/>
    <w:rPr>
      <w:rFonts w:ascii="Arial" w:eastAsia="Times" w:hAnsi="Arial"/>
      <w:color w:val="0000FF"/>
    </w:rPr>
  </w:style>
  <w:style w:type="paragraph" w:customStyle="1" w:styleId="FigureCaption0">
    <w:name w:val="Figure Caption"/>
    <w:basedOn w:val="Normal"/>
    <w:rsid w:val="0066053C"/>
    <w:pPr>
      <w:spacing w:after="120"/>
      <w:jc w:val="center"/>
    </w:pPr>
    <w:rPr>
      <w:rFonts w:cs="Arial"/>
      <w:b/>
      <w:sz w:val="18"/>
    </w:rPr>
  </w:style>
  <w:style w:type="paragraph" w:customStyle="1" w:styleId="tablebullet20">
    <w:name w:val="tablebullet2"/>
    <w:basedOn w:val="Normal"/>
    <w:autoRedefine/>
    <w:qFormat/>
    <w:rsid w:val="006D1A78"/>
    <w:pPr>
      <w:spacing w:before="20" w:after="20"/>
      <w:ind w:left="408" w:hanging="180"/>
    </w:pPr>
    <w:rPr>
      <w:color w:val="0000FF"/>
      <w:sz w:val="18"/>
    </w:rPr>
  </w:style>
  <w:style w:type="paragraph" w:styleId="Caption">
    <w:name w:val="caption"/>
    <w:basedOn w:val="Normal"/>
    <w:next w:val="Normal"/>
    <w:unhideWhenUsed/>
    <w:qFormat/>
    <w:rsid w:val="00ED6869"/>
    <w:rPr>
      <w:b/>
      <w:bCs/>
    </w:rPr>
  </w:style>
  <w:style w:type="paragraph" w:styleId="BodyText">
    <w:name w:val="Body Text"/>
    <w:basedOn w:val="Normal"/>
    <w:link w:val="BodyTextChar"/>
    <w:rsid w:val="00E0501E"/>
    <w:pPr>
      <w:spacing w:after="120"/>
    </w:pPr>
    <w:rPr>
      <w:rFonts w:ascii="Times New Roman" w:hAnsi="Times New Roman"/>
      <w:i/>
      <w:iCs/>
    </w:rPr>
  </w:style>
  <w:style w:type="character" w:customStyle="1" w:styleId="BodyTextChar">
    <w:name w:val="Body Text Char"/>
    <w:basedOn w:val="DefaultParagraphFont"/>
    <w:link w:val="BodyText"/>
    <w:rsid w:val="00E0501E"/>
    <w:rPr>
      <w:i/>
      <w:iCs/>
    </w:rPr>
  </w:style>
  <w:style w:type="character" w:customStyle="1" w:styleId="Heading2Char">
    <w:name w:val="Heading 2 Char"/>
    <w:aliases w:val="H2 Char,Heading B Char,H21 Char,H22 Char,H23 Char,H211 Char,H221 Char,h2 Char,A Char,B Char,C Char,hello Char,style2 Char,A.B.C. Char,appendix heading 2 Char,Heading2-bio Char,Career Exp. Char,Attribute Heading 2 Char,Bold 14 Char,L2 Char"/>
    <w:basedOn w:val="DefaultParagraphFont"/>
    <w:link w:val="Heading2"/>
    <w:rsid w:val="00270473"/>
    <w:rPr>
      <w:rFonts w:ascii="Arial Rounded MT Bold" w:eastAsia="Times" w:hAnsi="Arial Rounded MT Bold"/>
      <w:b/>
      <w:color w:val="092F57"/>
      <w:lang w:val="en-GB"/>
    </w:rPr>
  </w:style>
  <w:style w:type="character" w:styleId="CommentReference">
    <w:name w:val="annotation reference"/>
    <w:basedOn w:val="DefaultParagraphFont"/>
    <w:rsid w:val="0026160B"/>
    <w:rPr>
      <w:sz w:val="16"/>
      <w:szCs w:val="16"/>
    </w:rPr>
  </w:style>
  <w:style w:type="paragraph" w:styleId="CommentText">
    <w:name w:val="annotation text"/>
    <w:basedOn w:val="Normal"/>
    <w:link w:val="CommentTextChar"/>
    <w:rsid w:val="0026160B"/>
  </w:style>
  <w:style w:type="character" w:customStyle="1" w:styleId="CommentTextChar">
    <w:name w:val="Comment Text Char"/>
    <w:basedOn w:val="DefaultParagraphFont"/>
    <w:link w:val="CommentText"/>
    <w:rsid w:val="0026160B"/>
    <w:rPr>
      <w:rFonts w:ascii="Arial" w:hAnsi="Arial"/>
    </w:rPr>
  </w:style>
  <w:style w:type="paragraph" w:styleId="CommentSubject">
    <w:name w:val="annotation subject"/>
    <w:basedOn w:val="CommentText"/>
    <w:next w:val="CommentText"/>
    <w:link w:val="CommentSubjectChar"/>
    <w:rsid w:val="0026160B"/>
    <w:rPr>
      <w:b/>
      <w:bCs/>
    </w:rPr>
  </w:style>
  <w:style w:type="character" w:customStyle="1" w:styleId="CommentSubjectChar">
    <w:name w:val="Comment Subject Char"/>
    <w:basedOn w:val="CommentTextChar"/>
    <w:link w:val="CommentSubject"/>
    <w:rsid w:val="0026160B"/>
    <w:rPr>
      <w:rFonts w:ascii="Arial" w:hAnsi="Arial"/>
      <w:b/>
      <w:bCs/>
    </w:rPr>
  </w:style>
  <w:style w:type="paragraph" w:styleId="Revision">
    <w:name w:val="Revision"/>
    <w:hidden/>
    <w:uiPriority w:val="99"/>
    <w:semiHidden/>
    <w:rsid w:val="0026160B"/>
    <w:rPr>
      <w:rFonts w:ascii="Arial" w:hAnsi="Arial"/>
    </w:rPr>
  </w:style>
  <w:style w:type="character" w:customStyle="1" w:styleId="Heading4Char">
    <w:name w:val="Heading 4 Char"/>
    <w:basedOn w:val="DefaultParagraphFont"/>
    <w:link w:val="Heading4"/>
    <w:rsid w:val="0000017C"/>
    <w:rPr>
      <w:rFonts w:ascii="Arial Bold" w:hAnsi="Arial Bold"/>
      <w:b/>
      <w:i/>
      <w:sz w:val="18"/>
      <w:szCs w:val="18"/>
    </w:rPr>
  </w:style>
  <w:style w:type="paragraph" w:styleId="ListParagraph">
    <w:name w:val="List Paragraph"/>
    <w:basedOn w:val="Normal"/>
    <w:link w:val="ListParagraphChar"/>
    <w:uiPriority w:val="34"/>
    <w:qFormat/>
    <w:rsid w:val="00D71390"/>
    <w:pPr>
      <w:ind w:left="720"/>
      <w:contextualSpacing/>
    </w:pPr>
  </w:style>
  <w:style w:type="table" w:styleId="GridTable4-Accent1">
    <w:name w:val="Grid Table 4 Accent 1"/>
    <w:basedOn w:val="TableNormal"/>
    <w:uiPriority w:val="49"/>
    <w:rsid w:val="00A852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A852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797593"/>
    <w:pPr>
      <w:autoSpaceDE w:val="0"/>
      <w:autoSpaceDN w:val="0"/>
      <w:adjustRightInd w:val="0"/>
    </w:pPr>
    <w:rPr>
      <w:rFonts w:ascii="Verdana" w:hAnsi="Verdana" w:cs="Verdana"/>
      <w:color w:val="000000"/>
      <w:sz w:val="24"/>
      <w:szCs w:val="24"/>
    </w:rPr>
  </w:style>
  <w:style w:type="paragraph" w:customStyle="1" w:styleId="DBodycopy">
    <w:name w:val="D_Body copy"/>
    <w:link w:val="DBodycopyChar"/>
    <w:qFormat/>
    <w:rsid w:val="00363B0C"/>
    <w:pPr>
      <w:spacing w:before="120" w:after="120" w:line="280" w:lineRule="atLeast"/>
    </w:pPr>
    <w:rPr>
      <w:rFonts w:ascii="Verdana" w:eastAsia="Times" w:hAnsi="Verdana"/>
      <w:color w:val="000000" w:themeColor="text1"/>
    </w:rPr>
  </w:style>
  <w:style w:type="character" w:customStyle="1" w:styleId="DBodycopyChar">
    <w:name w:val="D_Body copy Char"/>
    <w:basedOn w:val="DefaultParagraphFont"/>
    <w:link w:val="DBodycopy"/>
    <w:locked/>
    <w:rsid w:val="00363B0C"/>
    <w:rPr>
      <w:rFonts w:ascii="Verdana" w:eastAsia="Times" w:hAnsi="Verdana"/>
      <w:color w:val="000000" w:themeColor="text1"/>
    </w:rPr>
  </w:style>
  <w:style w:type="paragraph" w:customStyle="1" w:styleId="DBodyfollow">
    <w:name w:val="D_Body follow"/>
    <w:next w:val="DBodycopy"/>
    <w:rsid w:val="00363B0C"/>
    <w:pPr>
      <w:spacing w:before="240" w:after="120" w:line="280" w:lineRule="atLeast"/>
    </w:pPr>
    <w:rPr>
      <w:rFonts w:ascii="Verdana" w:eastAsia="Times" w:hAnsi="Verdana"/>
      <w:color w:val="000000" w:themeColor="text1"/>
    </w:rPr>
  </w:style>
  <w:style w:type="paragraph" w:customStyle="1" w:styleId="DBulletlevel1">
    <w:name w:val="D_Bullet level 1"/>
    <w:qFormat/>
    <w:rsid w:val="00363B0C"/>
    <w:pPr>
      <w:numPr>
        <w:numId w:val="32"/>
      </w:numPr>
      <w:spacing w:before="120" w:after="120" w:line="280" w:lineRule="atLeast"/>
    </w:pPr>
    <w:rPr>
      <w:rFonts w:ascii="Verdana" w:eastAsia="Times" w:hAnsi="Verdana"/>
      <w:color w:val="000000"/>
    </w:rPr>
  </w:style>
  <w:style w:type="paragraph" w:customStyle="1" w:styleId="msonormal0">
    <w:name w:val="msonormal"/>
    <w:basedOn w:val="Normal"/>
    <w:rsid w:val="006E655D"/>
    <w:pPr>
      <w:spacing w:before="100" w:beforeAutospacing="1" w:after="100" w:afterAutospacing="1"/>
    </w:pPr>
    <w:rPr>
      <w:rFonts w:ascii="Times New Roman" w:hAnsi="Times New Roman"/>
      <w:sz w:val="24"/>
      <w:szCs w:val="24"/>
    </w:rPr>
  </w:style>
  <w:style w:type="paragraph" w:customStyle="1" w:styleId="font5">
    <w:name w:val="font5"/>
    <w:basedOn w:val="Normal"/>
    <w:rsid w:val="006E655D"/>
    <w:pPr>
      <w:spacing w:before="100" w:beforeAutospacing="1" w:after="100" w:afterAutospacing="1"/>
    </w:pPr>
    <w:rPr>
      <w:rFonts w:cs="Arial"/>
      <w:color w:val="000000"/>
    </w:rPr>
  </w:style>
  <w:style w:type="paragraph" w:customStyle="1" w:styleId="font6">
    <w:name w:val="font6"/>
    <w:basedOn w:val="Normal"/>
    <w:rsid w:val="006E655D"/>
    <w:pPr>
      <w:spacing w:before="100" w:beforeAutospacing="1" w:after="100" w:afterAutospacing="1"/>
    </w:pPr>
    <w:rPr>
      <w:rFonts w:cs="Arial"/>
      <w:color w:val="000000"/>
    </w:rPr>
  </w:style>
  <w:style w:type="paragraph" w:customStyle="1" w:styleId="xl65">
    <w:name w:val="xl65"/>
    <w:basedOn w:val="Normal"/>
    <w:rsid w:val="006E655D"/>
    <w:pPr>
      <w:pBdr>
        <w:bottom w:val="single" w:sz="8" w:space="0" w:color="A6A6A6"/>
      </w:pBdr>
      <w:shd w:val="clear" w:color="000000" w:fill="092F57"/>
      <w:spacing w:before="100" w:beforeAutospacing="1" w:after="100" w:afterAutospacing="1"/>
      <w:jc w:val="center"/>
      <w:textAlignment w:val="center"/>
    </w:pPr>
    <w:rPr>
      <w:rFonts w:cs="Arial"/>
      <w:b/>
      <w:bCs/>
      <w:color w:val="FFFFFF"/>
    </w:rPr>
  </w:style>
  <w:style w:type="paragraph" w:customStyle="1" w:styleId="xl66">
    <w:name w:val="xl66"/>
    <w:basedOn w:val="Normal"/>
    <w:rsid w:val="006E655D"/>
    <w:pPr>
      <w:pBdr>
        <w:bottom w:val="single" w:sz="8" w:space="0" w:color="A6A6A6"/>
      </w:pBdr>
      <w:spacing w:before="100" w:beforeAutospacing="1" w:after="100" w:afterAutospacing="1"/>
      <w:jc w:val="center"/>
      <w:textAlignment w:val="center"/>
    </w:pPr>
    <w:rPr>
      <w:rFonts w:cs="Arial"/>
      <w:color w:val="000000"/>
    </w:rPr>
  </w:style>
  <w:style w:type="paragraph" w:customStyle="1" w:styleId="xl67">
    <w:name w:val="xl67"/>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68">
    <w:name w:val="xl68"/>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69">
    <w:name w:val="xl69"/>
    <w:basedOn w:val="Normal"/>
    <w:rsid w:val="006E655D"/>
    <w:pPr>
      <w:pBdr>
        <w:bottom w:val="single" w:sz="8" w:space="0" w:color="A6A6A6"/>
      </w:pBdr>
      <w:spacing w:before="100" w:beforeAutospacing="1" w:after="100" w:afterAutospacing="1"/>
      <w:textAlignment w:val="center"/>
    </w:pPr>
    <w:rPr>
      <w:rFonts w:cs="Arial"/>
      <w:color w:val="000000"/>
    </w:rPr>
  </w:style>
  <w:style w:type="paragraph" w:customStyle="1" w:styleId="xl70">
    <w:name w:val="xl70"/>
    <w:basedOn w:val="Normal"/>
    <w:rsid w:val="006E655D"/>
    <w:pPr>
      <w:shd w:val="clear" w:color="000000" w:fill="092F57"/>
      <w:spacing w:before="100" w:beforeAutospacing="1" w:after="100" w:afterAutospacing="1"/>
      <w:textAlignment w:val="center"/>
    </w:pPr>
    <w:rPr>
      <w:rFonts w:cs="Arial"/>
      <w:b/>
      <w:bCs/>
      <w:color w:val="FFFFFF"/>
    </w:rPr>
  </w:style>
  <w:style w:type="paragraph" w:customStyle="1" w:styleId="xl71">
    <w:name w:val="xl71"/>
    <w:basedOn w:val="Normal"/>
    <w:rsid w:val="006E655D"/>
    <w:pPr>
      <w:shd w:val="clear" w:color="000000" w:fill="092F57"/>
      <w:spacing w:before="100" w:beforeAutospacing="1" w:after="100" w:afterAutospacing="1"/>
      <w:jc w:val="center"/>
      <w:textAlignment w:val="center"/>
    </w:pPr>
    <w:rPr>
      <w:rFonts w:cs="Arial"/>
      <w:b/>
      <w:bCs/>
      <w:color w:val="FFFFFF"/>
    </w:rPr>
  </w:style>
  <w:style w:type="paragraph" w:customStyle="1" w:styleId="xl72">
    <w:name w:val="xl72"/>
    <w:basedOn w:val="Normal"/>
    <w:rsid w:val="006E655D"/>
    <w:pPr>
      <w:spacing w:before="100" w:beforeAutospacing="1" w:after="100" w:afterAutospacing="1"/>
      <w:jc w:val="center"/>
      <w:textAlignment w:val="center"/>
    </w:pPr>
    <w:rPr>
      <w:rFonts w:cs="Arial"/>
      <w:color w:val="000000"/>
    </w:rPr>
  </w:style>
  <w:style w:type="paragraph" w:customStyle="1" w:styleId="xl73">
    <w:name w:val="xl73"/>
    <w:basedOn w:val="Normal"/>
    <w:rsid w:val="006E655D"/>
    <w:pPr>
      <w:spacing w:before="100" w:beforeAutospacing="1" w:after="100" w:afterAutospacing="1"/>
      <w:textAlignment w:val="center"/>
    </w:pPr>
    <w:rPr>
      <w:rFonts w:cs="Arial"/>
      <w:color w:val="000000"/>
    </w:rPr>
  </w:style>
  <w:style w:type="paragraph" w:customStyle="1" w:styleId="xl74">
    <w:name w:val="xl74"/>
    <w:basedOn w:val="Normal"/>
    <w:rsid w:val="006E655D"/>
    <w:pPr>
      <w:spacing w:before="100" w:beforeAutospacing="1" w:after="100" w:afterAutospacing="1"/>
      <w:textAlignment w:val="center"/>
    </w:pPr>
    <w:rPr>
      <w:rFonts w:cs="Arial"/>
      <w:color w:val="000000"/>
    </w:rPr>
  </w:style>
  <w:style w:type="paragraph" w:customStyle="1" w:styleId="xl75">
    <w:name w:val="xl75"/>
    <w:basedOn w:val="Normal"/>
    <w:rsid w:val="006E655D"/>
    <w:pPr>
      <w:spacing w:before="100" w:beforeAutospacing="1" w:after="100" w:afterAutospacing="1"/>
      <w:textAlignment w:val="center"/>
    </w:pPr>
    <w:rPr>
      <w:rFonts w:cs="Arial"/>
      <w:color w:val="000000"/>
    </w:rPr>
  </w:style>
  <w:style w:type="paragraph" w:customStyle="1" w:styleId="xl76">
    <w:name w:val="xl76"/>
    <w:basedOn w:val="Normal"/>
    <w:rsid w:val="006E655D"/>
    <w:pPr>
      <w:spacing w:before="100" w:beforeAutospacing="1" w:after="100" w:afterAutospacing="1"/>
      <w:textAlignment w:val="center"/>
    </w:pPr>
    <w:rPr>
      <w:rFonts w:cs="Arial"/>
      <w:color w:val="000000"/>
      <w:sz w:val="18"/>
      <w:szCs w:val="18"/>
    </w:rPr>
  </w:style>
  <w:style w:type="table" w:styleId="ListTable4-Accent1">
    <w:name w:val="List Table 4 Accent 1"/>
    <w:basedOn w:val="TableNormal"/>
    <w:uiPriority w:val="49"/>
    <w:rsid w:val="007172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860FD6"/>
    <w:rPr>
      <w:color w:val="605E5C"/>
      <w:shd w:val="clear" w:color="auto" w:fill="E1DFDD"/>
    </w:rPr>
  </w:style>
  <w:style w:type="table" w:styleId="ListTable3">
    <w:name w:val="List Table 3"/>
    <w:basedOn w:val="TableNormal"/>
    <w:uiPriority w:val="48"/>
    <w:rsid w:val="00480B24"/>
    <w:rPr>
      <w:rFonts w:ascii="Verdana" w:hAnsi="Verdana"/>
      <w:sz w:val="18"/>
      <w:szCs w:val="18"/>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C865D1"/>
    <w:rPr>
      <w:rFonts w:ascii="Verdana" w:hAnsi="Verdana"/>
      <w:sz w:val="18"/>
      <w:szCs w:val="1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310E32"/>
    <w:rPr>
      <w:rFonts w:ascii="Arial" w:hAnsi="Arial"/>
    </w:rPr>
  </w:style>
  <w:style w:type="paragraph" w:customStyle="1" w:styleId="Sectionsub1">
    <w:name w:val="Section sub 1"/>
    <w:basedOn w:val="Normal"/>
    <w:link w:val="Sectionsub1Char"/>
    <w:qFormat/>
    <w:rsid w:val="00393559"/>
    <w:pPr>
      <w:spacing w:before="240"/>
      <w:outlineLvl w:val="1"/>
    </w:pPr>
    <w:rPr>
      <w:rFonts w:cs="Arial"/>
      <w:b/>
      <w:sz w:val="22"/>
      <w:szCs w:val="22"/>
    </w:rPr>
  </w:style>
  <w:style w:type="character" w:customStyle="1" w:styleId="Sectionsub1Char">
    <w:name w:val="Section sub 1 Char"/>
    <w:basedOn w:val="DefaultParagraphFont"/>
    <w:link w:val="Sectionsub1"/>
    <w:rsid w:val="00393559"/>
    <w:rPr>
      <w:rFonts w:ascii="Arial" w:hAnsi="Arial" w:cs="Arial"/>
      <w:b/>
      <w:sz w:val="22"/>
      <w:szCs w:val="22"/>
    </w:rPr>
  </w:style>
  <w:style w:type="paragraph" w:styleId="FootnoteText">
    <w:name w:val="footnote text"/>
    <w:basedOn w:val="Normal"/>
    <w:link w:val="FootnoteTextChar"/>
    <w:semiHidden/>
    <w:unhideWhenUsed/>
    <w:rsid w:val="0029197E"/>
  </w:style>
  <w:style w:type="character" w:customStyle="1" w:styleId="FootnoteTextChar">
    <w:name w:val="Footnote Text Char"/>
    <w:basedOn w:val="DefaultParagraphFont"/>
    <w:link w:val="FootnoteText"/>
    <w:semiHidden/>
    <w:rsid w:val="0029197E"/>
    <w:rPr>
      <w:rFonts w:ascii="Arial" w:hAnsi="Arial"/>
    </w:rPr>
  </w:style>
  <w:style w:type="character" w:styleId="FootnoteReference">
    <w:name w:val="footnote reference"/>
    <w:basedOn w:val="DefaultParagraphFont"/>
    <w:semiHidden/>
    <w:unhideWhenUsed/>
    <w:rsid w:val="0029197E"/>
    <w:rPr>
      <w:vertAlign w:val="superscript"/>
    </w:rPr>
  </w:style>
  <w:style w:type="paragraph" w:styleId="NoSpacing">
    <w:name w:val="No Spacing"/>
    <w:uiPriority w:val="1"/>
    <w:qFormat/>
    <w:rsid w:val="007642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0853">
      <w:bodyDiv w:val="1"/>
      <w:marLeft w:val="0"/>
      <w:marRight w:val="0"/>
      <w:marTop w:val="0"/>
      <w:marBottom w:val="0"/>
      <w:divBdr>
        <w:top w:val="none" w:sz="0" w:space="0" w:color="auto"/>
        <w:left w:val="none" w:sz="0" w:space="0" w:color="auto"/>
        <w:bottom w:val="none" w:sz="0" w:space="0" w:color="auto"/>
        <w:right w:val="none" w:sz="0" w:space="0" w:color="auto"/>
      </w:divBdr>
      <w:divsChild>
        <w:div w:id="2046325739">
          <w:marLeft w:val="187"/>
          <w:marRight w:val="0"/>
          <w:marTop w:val="120"/>
          <w:marBottom w:val="0"/>
          <w:divBdr>
            <w:top w:val="none" w:sz="0" w:space="0" w:color="auto"/>
            <w:left w:val="none" w:sz="0" w:space="0" w:color="auto"/>
            <w:bottom w:val="none" w:sz="0" w:space="0" w:color="auto"/>
            <w:right w:val="none" w:sz="0" w:space="0" w:color="auto"/>
          </w:divBdr>
        </w:div>
        <w:div w:id="2072344308">
          <w:marLeft w:val="187"/>
          <w:marRight w:val="0"/>
          <w:marTop w:val="120"/>
          <w:marBottom w:val="0"/>
          <w:divBdr>
            <w:top w:val="none" w:sz="0" w:space="0" w:color="auto"/>
            <w:left w:val="none" w:sz="0" w:space="0" w:color="auto"/>
            <w:bottom w:val="none" w:sz="0" w:space="0" w:color="auto"/>
            <w:right w:val="none" w:sz="0" w:space="0" w:color="auto"/>
          </w:divBdr>
        </w:div>
        <w:div w:id="1175723629">
          <w:marLeft w:val="187"/>
          <w:marRight w:val="0"/>
          <w:marTop w:val="120"/>
          <w:marBottom w:val="0"/>
          <w:divBdr>
            <w:top w:val="none" w:sz="0" w:space="0" w:color="auto"/>
            <w:left w:val="none" w:sz="0" w:space="0" w:color="auto"/>
            <w:bottom w:val="none" w:sz="0" w:space="0" w:color="auto"/>
            <w:right w:val="none" w:sz="0" w:space="0" w:color="auto"/>
          </w:divBdr>
        </w:div>
        <w:div w:id="258951049">
          <w:marLeft w:val="187"/>
          <w:marRight w:val="0"/>
          <w:marTop w:val="120"/>
          <w:marBottom w:val="0"/>
          <w:divBdr>
            <w:top w:val="none" w:sz="0" w:space="0" w:color="auto"/>
            <w:left w:val="none" w:sz="0" w:space="0" w:color="auto"/>
            <w:bottom w:val="none" w:sz="0" w:space="0" w:color="auto"/>
            <w:right w:val="none" w:sz="0" w:space="0" w:color="auto"/>
          </w:divBdr>
        </w:div>
        <w:div w:id="580867380">
          <w:marLeft w:val="187"/>
          <w:marRight w:val="0"/>
          <w:marTop w:val="120"/>
          <w:marBottom w:val="0"/>
          <w:divBdr>
            <w:top w:val="none" w:sz="0" w:space="0" w:color="auto"/>
            <w:left w:val="none" w:sz="0" w:space="0" w:color="auto"/>
            <w:bottom w:val="none" w:sz="0" w:space="0" w:color="auto"/>
            <w:right w:val="none" w:sz="0" w:space="0" w:color="auto"/>
          </w:divBdr>
        </w:div>
        <w:div w:id="418719487">
          <w:marLeft w:val="187"/>
          <w:marRight w:val="0"/>
          <w:marTop w:val="120"/>
          <w:marBottom w:val="0"/>
          <w:divBdr>
            <w:top w:val="none" w:sz="0" w:space="0" w:color="auto"/>
            <w:left w:val="none" w:sz="0" w:space="0" w:color="auto"/>
            <w:bottom w:val="none" w:sz="0" w:space="0" w:color="auto"/>
            <w:right w:val="none" w:sz="0" w:space="0" w:color="auto"/>
          </w:divBdr>
        </w:div>
      </w:divsChild>
    </w:div>
    <w:div w:id="239675033">
      <w:bodyDiv w:val="1"/>
      <w:marLeft w:val="0"/>
      <w:marRight w:val="0"/>
      <w:marTop w:val="0"/>
      <w:marBottom w:val="0"/>
      <w:divBdr>
        <w:top w:val="none" w:sz="0" w:space="0" w:color="auto"/>
        <w:left w:val="none" w:sz="0" w:space="0" w:color="auto"/>
        <w:bottom w:val="none" w:sz="0" w:space="0" w:color="auto"/>
        <w:right w:val="none" w:sz="0" w:space="0" w:color="auto"/>
      </w:divBdr>
      <w:divsChild>
        <w:div w:id="2068795301">
          <w:marLeft w:val="187"/>
          <w:marRight w:val="0"/>
          <w:marTop w:val="20"/>
          <w:marBottom w:val="20"/>
          <w:divBdr>
            <w:top w:val="none" w:sz="0" w:space="0" w:color="auto"/>
            <w:left w:val="none" w:sz="0" w:space="0" w:color="auto"/>
            <w:bottom w:val="none" w:sz="0" w:space="0" w:color="auto"/>
            <w:right w:val="none" w:sz="0" w:space="0" w:color="auto"/>
          </w:divBdr>
        </w:div>
      </w:divsChild>
    </w:div>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8865059">
      <w:bodyDiv w:val="1"/>
      <w:marLeft w:val="0"/>
      <w:marRight w:val="0"/>
      <w:marTop w:val="0"/>
      <w:marBottom w:val="0"/>
      <w:divBdr>
        <w:top w:val="none" w:sz="0" w:space="0" w:color="auto"/>
        <w:left w:val="none" w:sz="0" w:space="0" w:color="auto"/>
        <w:bottom w:val="none" w:sz="0" w:space="0" w:color="auto"/>
        <w:right w:val="none" w:sz="0" w:space="0" w:color="auto"/>
      </w:divBdr>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414791938">
      <w:bodyDiv w:val="1"/>
      <w:marLeft w:val="0"/>
      <w:marRight w:val="0"/>
      <w:marTop w:val="0"/>
      <w:marBottom w:val="0"/>
      <w:divBdr>
        <w:top w:val="none" w:sz="0" w:space="0" w:color="auto"/>
        <w:left w:val="none" w:sz="0" w:space="0" w:color="auto"/>
        <w:bottom w:val="none" w:sz="0" w:space="0" w:color="auto"/>
        <w:right w:val="none" w:sz="0" w:space="0" w:color="auto"/>
      </w:divBdr>
    </w:div>
    <w:div w:id="442379800">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492962222">
      <w:bodyDiv w:val="1"/>
      <w:marLeft w:val="0"/>
      <w:marRight w:val="0"/>
      <w:marTop w:val="0"/>
      <w:marBottom w:val="0"/>
      <w:divBdr>
        <w:top w:val="none" w:sz="0" w:space="0" w:color="auto"/>
        <w:left w:val="none" w:sz="0" w:space="0" w:color="auto"/>
        <w:bottom w:val="none" w:sz="0" w:space="0" w:color="auto"/>
        <w:right w:val="none" w:sz="0" w:space="0" w:color="auto"/>
      </w:divBdr>
    </w:div>
    <w:div w:id="498499296">
      <w:bodyDiv w:val="1"/>
      <w:marLeft w:val="0"/>
      <w:marRight w:val="0"/>
      <w:marTop w:val="0"/>
      <w:marBottom w:val="0"/>
      <w:divBdr>
        <w:top w:val="none" w:sz="0" w:space="0" w:color="auto"/>
        <w:left w:val="none" w:sz="0" w:space="0" w:color="auto"/>
        <w:bottom w:val="none" w:sz="0" w:space="0" w:color="auto"/>
        <w:right w:val="none" w:sz="0" w:space="0" w:color="auto"/>
      </w:divBdr>
    </w:div>
    <w:div w:id="522398707">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594286084">
      <w:bodyDiv w:val="1"/>
      <w:marLeft w:val="0"/>
      <w:marRight w:val="0"/>
      <w:marTop w:val="0"/>
      <w:marBottom w:val="0"/>
      <w:divBdr>
        <w:top w:val="none" w:sz="0" w:space="0" w:color="auto"/>
        <w:left w:val="none" w:sz="0" w:space="0" w:color="auto"/>
        <w:bottom w:val="none" w:sz="0" w:space="0" w:color="auto"/>
        <w:right w:val="none" w:sz="0" w:space="0" w:color="auto"/>
      </w:divBdr>
      <w:divsChild>
        <w:div w:id="1262303848">
          <w:marLeft w:val="187"/>
          <w:marRight w:val="0"/>
          <w:marTop w:val="120"/>
          <w:marBottom w:val="0"/>
          <w:divBdr>
            <w:top w:val="none" w:sz="0" w:space="0" w:color="auto"/>
            <w:left w:val="none" w:sz="0" w:space="0" w:color="auto"/>
            <w:bottom w:val="none" w:sz="0" w:space="0" w:color="auto"/>
            <w:right w:val="none" w:sz="0" w:space="0" w:color="auto"/>
          </w:divBdr>
        </w:div>
        <w:div w:id="1782845561">
          <w:marLeft w:val="187"/>
          <w:marRight w:val="0"/>
          <w:marTop w:val="120"/>
          <w:marBottom w:val="0"/>
          <w:divBdr>
            <w:top w:val="none" w:sz="0" w:space="0" w:color="auto"/>
            <w:left w:val="none" w:sz="0" w:space="0" w:color="auto"/>
            <w:bottom w:val="none" w:sz="0" w:space="0" w:color="auto"/>
            <w:right w:val="none" w:sz="0" w:space="0" w:color="auto"/>
          </w:divBdr>
        </w:div>
        <w:div w:id="651562715">
          <w:marLeft w:val="187"/>
          <w:marRight w:val="0"/>
          <w:marTop w:val="120"/>
          <w:marBottom w:val="0"/>
          <w:divBdr>
            <w:top w:val="none" w:sz="0" w:space="0" w:color="auto"/>
            <w:left w:val="none" w:sz="0" w:space="0" w:color="auto"/>
            <w:bottom w:val="none" w:sz="0" w:space="0" w:color="auto"/>
            <w:right w:val="none" w:sz="0" w:space="0" w:color="auto"/>
          </w:divBdr>
        </w:div>
        <w:div w:id="1990745371">
          <w:marLeft w:val="187"/>
          <w:marRight w:val="0"/>
          <w:marTop w:val="120"/>
          <w:marBottom w:val="0"/>
          <w:divBdr>
            <w:top w:val="none" w:sz="0" w:space="0" w:color="auto"/>
            <w:left w:val="none" w:sz="0" w:space="0" w:color="auto"/>
            <w:bottom w:val="none" w:sz="0" w:space="0" w:color="auto"/>
            <w:right w:val="none" w:sz="0" w:space="0" w:color="auto"/>
          </w:divBdr>
        </w:div>
        <w:div w:id="953823499">
          <w:marLeft w:val="187"/>
          <w:marRight w:val="0"/>
          <w:marTop w:val="120"/>
          <w:marBottom w:val="0"/>
          <w:divBdr>
            <w:top w:val="none" w:sz="0" w:space="0" w:color="auto"/>
            <w:left w:val="none" w:sz="0" w:space="0" w:color="auto"/>
            <w:bottom w:val="none" w:sz="0" w:space="0" w:color="auto"/>
            <w:right w:val="none" w:sz="0" w:space="0" w:color="auto"/>
          </w:divBdr>
        </w:div>
        <w:div w:id="2005276541">
          <w:marLeft w:val="187"/>
          <w:marRight w:val="0"/>
          <w:marTop w:val="120"/>
          <w:marBottom w:val="0"/>
          <w:divBdr>
            <w:top w:val="none" w:sz="0" w:space="0" w:color="auto"/>
            <w:left w:val="none" w:sz="0" w:space="0" w:color="auto"/>
            <w:bottom w:val="none" w:sz="0" w:space="0" w:color="auto"/>
            <w:right w:val="none" w:sz="0" w:space="0" w:color="auto"/>
          </w:divBdr>
        </w:div>
      </w:divsChild>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09631061">
      <w:bodyDiv w:val="1"/>
      <w:marLeft w:val="0"/>
      <w:marRight w:val="0"/>
      <w:marTop w:val="0"/>
      <w:marBottom w:val="0"/>
      <w:divBdr>
        <w:top w:val="none" w:sz="0" w:space="0" w:color="auto"/>
        <w:left w:val="none" w:sz="0" w:space="0" w:color="auto"/>
        <w:bottom w:val="none" w:sz="0" w:space="0" w:color="auto"/>
        <w:right w:val="none" w:sz="0" w:space="0" w:color="auto"/>
      </w:divBdr>
      <w:divsChild>
        <w:div w:id="446432949">
          <w:marLeft w:val="446"/>
          <w:marRight w:val="0"/>
          <w:marTop w:val="0"/>
          <w:marBottom w:val="0"/>
          <w:divBdr>
            <w:top w:val="none" w:sz="0" w:space="0" w:color="auto"/>
            <w:left w:val="none" w:sz="0" w:space="0" w:color="auto"/>
            <w:bottom w:val="none" w:sz="0" w:space="0" w:color="auto"/>
            <w:right w:val="none" w:sz="0" w:space="0" w:color="auto"/>
          </w:divBdr>
        </w:div>
        <w:div w:id="701711305">
          <w:marLeft w:val="446"/>
          <w:marRight w:val="0"/>
          <w:marTop w:val="0"/>
          <w:marBottom w:val="0"/>
          <w:divBdr>
            <w:top w:val="none" w:sz="0" w:space="0" w:color="auto"/>
            <w:left w:val="none" w:sz="0" w:space="0" w:color="auto"/>
            <w:bottom w:val="none" w:sz="0" w:space="0" w:color="auto"/>
            <w:right w:val="none" w:sz="0" w:space="0" w:color="auto"/>
          </w:divBdr>
        </w:div>
        <w:div w:id="1084717632">
          <w:marLeft w:val="446"/>
          <w:marRight w:val="0"/>
          <w:marTop w:val="0"/>
          <w:marBottom w:val="0"/>
          <w:divBdr>
            <w:top w:val="none" w:sz="0" w:space="0" w:color="auto"/>
            <w:left w:val="none" w:sz="0" w:space="0" w:color="auto"/>
            <w:bottom w:val="none" w:sz="0" w:space="0" w:color="auto"/>
            <w:right w:val="none" w:sz="0" w:space="0" w:color="auto"/>
          </w:divBdr>
        </w:div>
        <w:div w:id="503864514">
          <w:marLeft w:val="446"/>
          <w:marRight w:val="0"/>
          <w:marTop w:val="0"/>
          <w:marBottom w:val="0"/>
          <w:divBdr>
            <w:top w:val="none" w:sz="0" w:space="0" w:color="auto"/>
            <w:left w:val="none" w:sz="0" w:space="0" w:color="auto"/>
            <w:bottom w:val="none" w:sz="0" w:space="0" w:color="auto"/>
            <w:right w:val="none" w:sz="0" w:space="0" w:color="auto"/>
          </w:divBdr>
        </w:div>
        <w:div w:id="1710453162">
          <w:marLeft w:val="446"/>
          <w:marRight w:val="0"/>
          <w:marTop w:val="0"/>
          <w:marBottom w:val="0"/>
          <w:divBdr>
            <w:top w:val="none" w:sz="0" w:space="0" w:color="auto"/>
            <w:left w:val="none" w:sz="0" w:space="0" w:color="auto"/>
            <w:bottom w:val="none" w:sz="0" w:space="0" w:color="auto"/>
            <w:right w:val="none" w:sz="0" w:space="0" w:color="auto"/>
          </w:divBdr>
        </w:div>
        <w:div w:id="596255309">
          <w:marLeft w:val="446"/>
          <w:marRight w:val="0"/>
          <w:marTop w:val="0"/>
          <w:marBottom w:val="0"/>
          <w:divBdr>
            <w:top w:val="none" w:sz="0" w:space="0" w:color="auto"/>
            <w:left w:val="none" w:sz="0" w:space="0" w:color="auto"/>
            <w:bottom w:val="none" w:sz="0" w:space="0" w:color="auto"/>
            <w:right w:val="none" w:sz="0" w:space="0" w:color="auto"/>
          </w:divBdr>
        </w:div>
        <w:div w:id="1220247368">
          <w:marLeft w:val="446"/>
          <w:marRight w:val="0"/>
          <w:marTop w:val="0"/>
          <w:marBottom w:val="0"/>
          <w:divBdr>
            <w:top w:val="none" w:sz="0" w:space="0" w:color="auto"/>
            <w:left w:val="none" w:sz="0" w:space="0" w:color="auto"/>
            <w:bottom w:val="none" w:sz="0" w:space="0" w:color="auto"/>
            <w:right w:val="none" w:sz="0" w:space="0" w:color="auto"/>
          </w:divBdr>
        </w:div>
        <w:div w:id="1016882655">
          <w:marLeft w:val="446"/>
          <w:marRight w:val="0"/>
          <w:marTop w:val="0"/>
          <w:marBottom w:val="0"/>
          <w:divBdr>
            <w:top w:val="none" w:sz="0" w:space="0" w:color="auto"/>
            <w:left w:val="none" w:sz="0" w:space="0" w:color="auto"/>
            <w:bottom w:val="none" w:sz="0" w:space="0" w:color="auto"/>
            <w:right w:val="none" w:sz="0" w:space="0" w:color="auto"/>
          </w:divBdr>
        </w:div>
        <w:div w:id="1996059268">
          <w:marLeft w:val="446"/>
          <w:marRight w:val="0"/>
          <w:marTop w:val="0"/>
          <w:marBottom w:val="0"/>
          <w:divBdr>
            <w:top w:val="none" w:sz="0" w:space="0" w:color="auto"/>
            <w:left w:val="none" w:sz="0" w:space="0" w:color="auto"/>
            <w:bottom w:val="none" w:sz="0" w:space="0" w:color="auto"/>
            <w:right w:val="none" w:sz="0" w:space="0" w:color="auto"/>
          </w:divBdr>
        </w:div>
        <w:div w:id="1064639840">
          <w:marLeft w:val="446"/>
          <w:marRight w:val="0"/>
          <w:marTop w:val="0"/>
          <w:marBottom w:val="0"/>
          <w:divBdr>
            <w:top w:val="none" w:sz="0" w:space="0" w:color="auto"/>
            <w:left w:val="none" w:sz="0" w:space="0" w:color="auto"/>
            <w:bottom w:val="none" w:sz="0" w:space="0" w:color="auto"/>
            <w:right w:val="none" w:sz="0" w:space="0" w:color="auto"/>
          </w:divBdr>
        </w:div>
        <w:div w:id="922759367">
          <w:marLeft w:val="446"/>
          <w:marRight w:val="0"/>
          <w:marTop w:val="0"/>
          <w:marBottom w:val="0"/>
          <w:divBdr>
            <w:top w:val="none" w:sz="0" w:space="0" w:color="auto"/>
            <w:left w:val="none" w:sz="0" w:space="0" w:color="auto"/>
            <w:bottom w:val="none" w:sz="0" w:space="0" w:color="auto"/>
            <w:right w:val="none" w:sz="0" w:space="0" w:color="auto"/>
          </w:divBdr>
        </w:div>
        <w:div w:id="1319189608">
          <w:marLeft w:val="446"/>
          <w:marRight w:val="0"/>
          <w:marTop w:val="0"/>
          <w:marBottom w:val="0"/>
          <w:divBdr>
            <w:top w:val="none" w:sz="0" w:space="0" w:color="auto"/>
            <w:left w:val="none" w:sz="0" w:space="0" w:color="auto"/>
            <w:bottom w:val="none" w:sz="0" w:space="0" w:color="auto"/>
            <w:right w:val="none" w:sz="0" w:space="0" w:color="auto"/>
          </w:divBdr>
        </w:div>
        <w:div w:id="1413819146">
          <w:marLeft w:val="446"/>
          <w:marRight w:val="0"/>
          <w:marTop w:val="0"/>
          <w:marBottom w:val="0"/>
          <w:divBdr>
            <w:top w:val="none" w:sz="0" w:space="0" w:color="auto"/>
            <w:left w:val="none" w:sz="0" w:space="0" w:color="auto"/>
            <w:bottom w:val="none" w:sz="0" w:space="0" w:color="auto"/>
            <w:right w:val="none" w:sz="0" w:space="0" w:color="auto"/>
          </w:divBdr>
        </w:div>
        <w:div w:id="1204515994">
          <w:marLeft w:val="446"/>
          <w:marRight w:val="0"/>
          <w:marTop w:val="0"/>
          <w:marBottom w:val="0"/>
          <w:divBdr>
            <w:top w:val="none" w:sz="0" w:space="0" w:color="auto"/>
            <w:left w:val="none" w:sz="0" w:space="0" w:color="auto"/>
            <w:bottom w:val="none" w:sz="0" w:space="0" w:color="auto"/>
            <w:right w:val="none" w:sz="0" w:space="0" w:color="auto"/>
          </w:divBdr>
        </w:div>
        <w:div w:id="634140275">
          <w:marLeft w:val="446"/>
          <w:marRight w:val="0"/>
          <w:marTop w:val="0"/>
          <w:marBottom w:val="0"/>
          <w:divBdr>
            <w:top w:val="none" w:sz="0" w:space="0" w:color="auto"/>
            <w:left w:val="none" w:sz="0" w:space="0" w:color="auto"/>
            <w:bottom w:val="none" w:sz="0" w:space="0" w:color="auto"/>
            <w:right w:val="none" w:sz="0" w:space="0" w:color="auto"/>
          </w:divBdr>
        </w:div>
        <w:div w:id="1085299504">
          <w:marLeft w:val="446"/>
          <w:marRight w:val="0"/>
          <w:marTop w:val="0"/>
          <w:marBottom w:val="0"/>
          <w:divBdr>
            <w:top w:val="none" w:sz="0" w:space="0" w:color="auto"/>
            <w:left w:val="none" w:sz="0" w:space="0" w:color="auto"/>
            <w:bottom w:val="none" w:sz="0" w:space="0" w:color="auto"/>
            <w:right w:val="none" w:sz="0" w:space="0" w:color="auto"/>
          </w:divBdr>
        </w:div>
        <w:div w:id="663628961">
          <w:marLeft w:val="446"/>
          <w:marRight w:val="0"/>
          <w:marTop w:val="0"/>
          <w:marBottom w:val="0"/>
          <w:divBdr>
            <w:top w:val="none" w:sz="0" w:space="0" w:color="auto"/>
            <w:left w:val="none" w:sz="0" w:space="0" w:color="auto"/>
            <w:bottom w:val="none" w:sz="0" w:space="0" w:color="auto"/>
            <w:right w:val="none" w:sz="0" w:space="0" w:color="auto"/>
          </w:divBdr>
        </w:div>
        <w:div w:id="334722641">
          <w:marLeft w:val="446"/>
          <w:marRight w:val="0"/>
          <w:marTop w:val="0"/>
          <w:marBottom w:val="0"/>
          <w:divBdr>
            <w:top w:val="none" w:sz="0" w:space="0" w:color="auto"/>
            <w:left w:val="none" w:sz="0" w:space="0" w:color="auto"/>
            <w:bottom w:val="none" w:sz="0" w:space="0" w:color="auto"/>
            <w:right w:val="none" w:sz="0" w:space="0" w:color="auto"/>
          </w:divBdr>
        </w:div>
        <w:div w:id="1387148205">
          <w:marLeft w:val="446"/>
          <w:marRight w:val="0"/>
          <w:marTop w:val="0"/>
          <w:marBottom w:val="0"/>
          <w:divBdr>
            <w:top w:val="none" w:sz="0" w:space="0" w:color="auto"/>
            <w:left w:val="none" w:sz="0" w:space="0" w:color="auto"/>
            <w:bottom w:val="none" w:sz="0" w:space="0" w:color="auto"/>
            <w:right w:val="none" w:sz="0" w:space="0" w:color="auto"/>
          </w:divBdr>
        </w:div>
        <w:div w:id="1443108443">
          <w:marLeft w:val="446"/>
          <w:marRight w:val="0"/>
          <w:marTop w:val="0"/>
          <w:marBottom w:val="0"/>
          <w:divBdr>
            <w:top w:val="none" w:sz="0" w:space="0" w:color="auto"/>
            <w:left w:val="none" w:sz="0" w:space="0" w:color="auto"/>
            <w:bottom w:val="none" w:sz="0" w:space="0" w:color="auto"/>
            <w:right w:val="none" w:sz="0" w:space="0" w:color="auto"/>
          </w:divBdr>
        </w:div>
        <w:div w:id="1076828567">
          <w:marLeft w:val="446"/>
          <w:marRight w:val="0"/>
          <w:marTop w:val="0"/>
          <w:marBottom w:val="0"/>
          <w:divBdr>
            <w:top w:val="none" w:sz="0" w:space="0" w:color="auto"/>
            <w:left w:val="none" w:sz="0" w:space="0" w:color="auto"/>
            <w:bottom w:val="none" w:sz="0" w:space="0" w:color="auto"/>
            <w:right w:val="none" w:sz="0" w:space="0" w:color="auto"/>
          </w:divBdr>
        </w:div>
        <w:div w:id="224997168">
          <w:marLeft w:val="446"/>
          <w:marRight w:val="0"/>
          <w:marTop w:val="0"/>
          <w:marBottom w:val="0"/>
          <w:divBdr>
            <w:top w:val="none" w:sz="0" w:space="0" w:color="auto"/>
            <w:left w:val="none" w:sz="0" w:space="0" w:color="auto"/>
            <w:bottom w:val="none" w:sz="0" w:space="0" w:color="auto"/>
            <w:right w:val="none" w:sz="0" w:space="0" w:color="auto"/>
          </w:divBdr>
        </w:div>
        <w:div w:id="1796554764">
          <w:marLeft w:val="446"/>
          <w:marRight w:val="0"/>
          <w:marTop w:val="0"/>
          <w:marBottom w:val="0"/>
          <w:divBdr>
            <w:top w:val="none" w:sz="0" w:space="0" w:color="auto"/>
            <w:left w:val="none" w:sz="0" w:space="0" w:color="auto"/>
            <w:bottom w:val="none" w:sz="0" w:space="0" w:color="auto"/>
            <w:right w:val="none" w:sz="0" w:space="0" w:color="auto"/>
          </w:divBdr>
        </w:div>
        <w:div w:id="1608542396">
          <w:marLeft w:val="446"/>
          <w:marRight w:val="0"/>
          <w:marTop w:val="0"/>
          <w:marBottom w:val="0"/>
          <w:divBdr>
            <w:top w:val="none" w:sz="0" w:space="0" w:color="auto"/>
            <w:left w:val="none" w:sz="0" w:space="0" w:color="auto"/>
            <w:bottom w:val="none" w:sz="0" w:space="0" w:color="auto"/>
            <w:right w:val="none" w:sz="0" w:space="0" w:color="auto"/>
          </w:divBdr>
        </w:div>
        <w:div w:id="1727491244">
          <w:marLeft w:val="446"/>
          <w:marRight w:val="0"/>
          <w:marTop w:val="0"/>
          <w:marBottom w:val="0"/>
          <w:divBdr>
            <w:top w:val="none" w:sz="0" w:space="0" w:color="auto"/>
            <w:left w:val="none" w:sz="0" w:space="0" w:color="auto"/>
            <w:bottom w:val="none" w:sz="0" w:space="0" w:color="auto"/>
            <w:right w:val="none" w:sz="0" w:space="0" w:color="auto"/>
          </w:divBdr>
        </w:div>
        <w:div w:id="1955211938">
          <w:marLeft w:val="446"/>
          <w:marRight w:val="0"/>
          <w:marTop w:val="0"/>
          <w:marBottom w:val="0"/>
          <w:divBdr>
            <w:top w:val="none" w:sz="0" w:space="0" w:color="auto"/>
            <w:left w:val="none" w:sz="0" w:space="0" w:color="auto"/>
            <w:bottom w:val="none" w:sz="0" w:space="0" w:color="auto"/>
            <w:right w:val="none" w:sz="0" w:space="0" w:color="auto"/>
          </w:divBdr>
        </w:div>
        <w:div w:id="1136338725">
          <w:marLeft w:val="446"/>
          <w:marRight w:val="0"/>
          <w:marTop w:val="0"/>
          <w:marBottom w:val="0"/>
          <w:divBdr>
            <w:top w:val="none" w:sz="0" w:space="0" w:color="auto"/>
            <w:left w:val="none" w:sz="0" w:space="0" w:color="auto"/>
            <w:bottom w:val="none" w:sz="0" w:space="0" w:color="auto"/>
            <w:right w:val="none" w:sz="0" w:space="0" w:color="auto"/>
          </w:divBdr>
        </w:div>
        <w:div w:id="1056244646">
          <w:marLeft w:val="446"/>
          <w:marRight w:val="0"/>
          <w:marTop w:val="0"/>
          <w:marBottom w:val="0"/>
          <w:divBdr>
            <w:top w:val="none" w:sz="0" w:space="0" w:color="auto"/>
            <w:left w:val="none" w:sz="0" w:space="0" w:color="auto"/>
            <w:bottom w:val="none" w:sz="0" w:space="0" w:color="auto"/>
            <w:right w:val="none" w:sz="0" w:space="0" w:color="auto"/>
          </w:divBdr>
        </w:div>
        <w:div w:id="1509951674">
          <w:marLeft w:val="446"/>
          <w:marRight w:val="0"/>
          <w:marTop w:val="0"/>
          <w:marBottom w:val="0"/>
          <w:divBdr>
            <w:top w:val="none" w:sz="0" w:space="0" w:color="auto"/>
            <w:left w:val="none" w:sz="0" w:space="0" w:color="auto"/>
            <w:bottom w:val="none" w:sz="0" w:space="0" w:color="auto"/>
            <w:right w:val="none" w:sz="0" w:space="0" w:color="auto"/>
          </w:divBdr>
        </w:div>
        <w:div w:id="522322515">
          <w:marLeft w:val="446"/>
          <w:marRight w:val="0"/>
          <w:marTop w:val="0"/>
          <w:marBottom w:val="0"/>
          <w:divBdr>
            <w:top w:val="none" w:sz="0" w:space="0" w:color="auto"/>
            <w:left w:val="none" w:sz="0" w:space="0" w:color="auto"/>
            <w:bottom w:val="none" w:sz="0" w:space="0" w:color="auto"/>
            <w:right w:val="none" w:sz="0" w:space="0" w:color="auto"/>
          </w:divBdr>
        </w:div>
        <w:div w:id="648022594">
          <w:marLeft w:val="446"/>
          <w:marRight w:val="0"/>
          <w:marTop w:val="0"/>
          <w:marBottom w:val="0"/>
          <w:divBdr>
            <w:top w:val="none" w:sz="0" w:space="0" w:color="auto"/>
            <w:left w:val="none" w:sz="0" w:space="0" w:color="auto"/>
            <w:bottom w:val="none" w:sz="0" w:space="0" w:color="auto"/>
            <w:right w:val="none" w:sz="0" w:space="0" w:color="auto"/>
          </w:divBdr>
        </w:div>
        <w:div w:id="1030833936">
          <w:marLeft w:val="446"/>
          <w:marRight w:val="0"/>
          <w:marTop w:val="0"/>
          <w:marBottom w:val="0"/>
          <w:divBdr>
            <w:top w:val="none" w:sz="0" w:space="0" w:color="auto"/>
            <w:left w:val="none" w:sz="0" w:space="0" w:color="auto"/>
            <w:bottom w:val="none" w:sz="0" w:space="0" w:color="auto"/>
            <w:right w:val="none" w:sz="0" w:space="0" w:color="auto"/>
          </w:divBdr>
        </w:div>
        <w:div w:id="2116245294">
          <w:marLeft w:val="446"/>
          <w:marRight w:val="0"/>
          <w:marTop w:val="0"/>
          <w:marBottom w:val="0"/>
          <w:divBdr>
            <w:top w:val="none" w:sz="0" w:space="0" w:color="auto"/>
            <w:left w:val="none" w:sz="0" w:space="0" w:color="auto"/>
            <w:bottom w:val="none" w:sz="0" w:space="0" w:color="auto"/>
            <w:right w:val="none" w:sz="0" w:space="0" w:color="auto"/>
          </w:divBdr>
        </w:div>
        <w:div w:id="254947394">
          <w:marLeft w:val="446"/>
          <w:marRight w:val="0"/>
          <w:marTop w:val="0"/>
          <w:marBottom w:val="0"/>
          <w:divBdr>
            <w:top w:val="none" w:sz="0" w:space="0" w:color="auto"/>
            <w:left w:val="none" w:sz="0" w:space="0" w:color="auto"/>
            <w:bottom w:val="none" w:sz="0" w:space="0" w:color="auto"/>
            <w:right w:val="none" w:sz="0" w:space="0" w:color="auto"/>
          </w:divBdr>
        </w:div>
        <w:div w:id="355273108">
          <w:marLeft w:val="446"/>
          <w:marRight w:val="0"/>
          <w:marTop w:val="0"/>
          <w:marBottom w:val="0"/>
          <w:divBdr>
            <w:top w:val="none" w:sz="0" w:space="0" w:color="auto"/>
            <w:left w:val="none" w:sz="0" w:space="0" w:color="auto"/>
            <w:bottom w:val="none" w:sz="0" w:space="0" w:color="auto"/>
            <w:right w:val="none" w:sz="0" w:space="0" w:color="auto"/>
          </w:divBdr>
        </w:div>
        <w:div w:id="1477259179">
          <w:marLeft w:val="446"/>
          <w:marRight w:val="0"/>
          <w:marTop w:val="0"/>
          <w:marBottom w:val="0"/>
          <w:divBdr>
            <w:top w:val="none" w:sz="0" w:space="0" w:color="auto"/>
            <w:left w:val="none" w:sz="0" w:space="0" w:color="auto"/>
            <w:bottom w:val="none" w:sz="0" w:space="0" w:color="auto"/>
            <w:right w:val="none" w:sz="0" w:space="0" w:color="auto"/>
          </w:divBdr>
        </w:div>
        <w:div w:id="880871125">
          <w:marLeft w:val="446"/>
          <w:marRight w:val="0"/>
          <w:marTop w:val="0"/>
          <w:marBottom w:val="0"/>
          <w:divBdr>
            <w:top w:val="none" w:sz="0" w:space="0" w:color="auto"/>
            <w:left w:val="none" w:sz="0" w:space="0" w:color="auto"/>
            <w:bottom w:val="none" w:sz="0" w:space="0" w:color="auto"/>
            <w:right w:val="none" w:sz="0" w:space="0" w:color="auto"/>
          </w:divBdr>
        </w:div>
        <w:div w:id="618878464">
          <w:marLeft w:val="446"/>
          <w:marRight w:val="0"/>
          <w:marTop w:val="0"/>
          <w:marBottom w:val="0"/>
          <w:divBdr>
            <w:top w:val="none" w:sz="0" w:space="0" w:color="auto"/>
            <w:left w:val="none" w:sz="0" w:space="0" w:color="auto"/>
            <w:bottom w:val="none" w:sz="0" w:space="0" w:color="auto"/>
            <w:right w:val="none" w:sz="0" w:space="0" w:color="auto"/>
          </w:divBdr>
        </w:div>
        <w:div w:id="306326171">
          <w:marLeft w:val="446"/>
          <w:marRight w:val="0"/>
          <w:marTop w:val="0"/>
          <w:marBottom w:val="0"/>
          <w:divBdr>
            <w:top w:val="none" w:sz="0" w:space="0" w:color="auto"/>
            <w:left w:val="none" w:sz="0" w:space="0" w:color="auto"/>
            <w:bottom w:val="none" w:sz="0" w:space="0" w:color="auto"/>
            <w:right w:val="none" w:sz="0" w:space="0" w:color="auto"/>
          </w:divBdr>
        </w:div>
        <w:div w:id="2092239938">
          <w:marLeft w:val="446"/>
          <w:marRight w:val="0"/>
          <w:marTop w:val="0"/>
          <w:marBottom w:val="0"/>
          <w:divBdr>
            <w:top w:val="none" w:sz="0" w:space="0" w:color="auto"/>
            <w:left w:val="none" w:sz="0" w:space="0" w:color="auto"/>
            <w:bottom w:val="none" w:sz="0" w:space="0" w:color="auto"/>
            <w:right w:val="none" w:sz="0" w:space="0" w:color="auto"/>
          </w:divBdr>
        </w:div>
        <w:div w:id="1260140971">
          <w:marLeft w:val="446"/>
          <w:marRight w:val="0"/>
          <w:marTop w:val="0"/>
          <w:marBottom w:val="0"/>
          <w:divBdr>
            <w:top w:val="none" w:sz="0" w:space="0" w:color="auto"/>
            <w:left w:val="none" w:sz="0" w:space="0" w:color="auto"/>
            <w:bottom w:val="none" w:sz="0" w:space="0" w:color="auto"/>
            <w:right w:val="none" w:sz="0" w:space="0" w:color="auto"/>
          </w:divBdr>
        </w:div>
        <w:div w:id="1575509501">
          <w:marLeft w:val="446"/>
          <w:marRight w:val="0"/>
          <w:marTop w:val="0"/>
          <w:marBottom w:val="0"/>
          <w:divBdr>
            <w:top w:val="none" w:sz="0" w:space="0" w:color="auto"/>
            <w:left w:val="none" w:sz="0" w:space="0" w:color="auto"/>
            <w:bottom w:val="none" w:sz="0" w:space="0" w:color="auto"/>
            <w:right w:val="none" w:sz="0" w:space="0" w:color="auto"/>
          </w:divBdr>
        </w:div>
        <w:div w:id="186061219">
          <w:marLeft w:val="446"/>
          <w:marRight w:val="0"/>
          <w:marTop w:val="0"/>
          <w:marBottom w:val="0"/>
          <w:divBdr>
            <w:top w:val="none" w:sz="0" w:space="0" w:color="auto"/>
            <w:left w:val="none" w:sz="0" w:space="0" w:color="auto"/>
            <w:bottom w:val="none" w:sz="0" w:space="0" w:color="auto"/>
            <w:right w:val="none" w:sz="0" w:space="0" w:color="auto"/>
          </w:divBdr>
        </w:div>
        <w:div w:id="339240123">
          <w:marLeft w:val="446"/>
          <w:marRight w:val="0"/>
          <w:marTop w:val="0"/>
          <w:marBottom w:val="0"/>
          <w:divBdr>
            <w:top w:val="none" w:sz="0" w:space="0" w:color="auto"/>
            <w:left w:val="none" w:sz="0" w:space="0" w:color="auto"/>
            <w:bottom w:val="none" w:sz="0" w:space="0" w:color="auto"/>
            <w:right w:val="none" w:sz="0" w:space="0" w:color="auto"/>
          </w:divBdr>
        </w:div>
        <w:div w:id="1918518302">
          <w:marLeft w:val="446"/>
          <w:marRight w:val="0"/>
          <w:marTop w:val="0"/>
          <w:marBottom w:val="0"/>
          <w:divBdr>
            <w:top w:val="none" w:sz="0" w:space="0" w:color="auto"/>
            <w:left w:val="none" w:sz="0" w:space="0" w:color="auto"/>
            <w:bottom w:val="none" w:sz="0" w:space="0" w:color="auto"/>
            <w:right w:val="none" w:sz="0" w:space="0" w:color="auto"/>
          </w:divBdr>
        </w:div>
        <w:div w:id="815075809">
          <w:marLeft w:val="446"/>
          <w:marRight w:val="0"/>
          <w:marTop w:val="0"/>
          <w:marBottom w:val="0"/>
          <w:divBdr>
            <w:top w:val="none" w:sz="0" w:space="0" w:color="auto"/>
            <w:left w:val="none" w:sz="0" w:space="0" w:color="auto"/>
            <w:bottom w:val="none" w:sz="0" w:space="0" w:color="auto"/>
            <w:right w:val="none" w:sz="0" w:space="0" w:color="auto"/>
          </w:divBdr>
        </w:div>
        <w:div w:id="1098058110">
          <w:marLeft w:val="446"/>
          <w:marRight w:val="0"/>
          <w:marTop w:val="0"/>
          <w:marBottom w:val="0"/>
          <w:divBdr>
            <w:top w:val="none" w:sz="0" w:space="0" w:color="auto"/>
            <w:left w:val="none" w:sz="0" w:space="0" w:color="auto"/>
            <w:bottom w:val="none" w:sz="0" w:space="0" w:color="auto"/>
            <w:right w:val="none" w:sz="0" w:space="0" w:color="auto"/>
          </w:divBdr>
        </w:div>
        <w:div w:id="118501012">
          <w:marLeft w:val="446"/>
          <w:marRight w:val="0"/>
          <w:marTop w:val="0"/>
          <w:marBottom w:val="0"/>
          <w:divBdr>
            <w:top w:val="none" w:sz="0" w:space="0" w:color="auto"/>
            <w:left w:val="none" w:sz="0" w:space="0" w:color="auto"/>
            <w:bottom w:val="none" w:sz="0" w:space="0" w:color="auto"/>
            <w:right w:val="none" w:sz="0" w:space="0" w:color="auto"/>
          </w:divBdr>
        </w:div>
        <w:div w:id="1566256040">
          <w:marLeft w:val="446"/>
          <w:marRight w:val="0"/>
          <w:marTop w:val="0"/>
          <w:marBottom w:val="0"/>
          <w:divBdr>
            <w:top w:val="none" w:sz="0" w:space="0" w:color="auto"/>
            <w:left w:val="none" w:sz="0" w:space="0" w:color="auto"/>
            <w:bottom w:val="none" w:sz="0" w:space="0" w:color="auto"/>
            <w:right w:val="none" w:sz="0" w:space="0" w:color="auto"/>
          </w:divBdr>
        </w:div>
        <w:div w:id="803424150">
          <w:marLeft w:val="446"/>
          <w:marRight w:val="0"/>
          <w:marTop w:val="0"/>
          <w:marBottom w:val="0"/>
          <w:divBdr>
            <w:top w:val="none" w:sz="0" w:space="0" w:color="auto"/>
            <w:left w:val="none" w:sz="0" w:space="0" w:color="auto"/>
            <w:bottom w:val="none" w:sz="0" w:space="0" w:color="auto"/>
            <w:right w:val="none" w:sz="0" w:space="0" w:color="auto"/>
          </w:divBdr>
        </w:div>
        <w:div w:id="1457677732">
          <w:marLeft w:val="446"/>
          <w:marRight w:val="0"/>
          <w:marTop w:val="0"/>
          <w:marBottom w:val="0"/>
          <w:divBdr>
            <w:top w:val="none" w:sz="0" w:space="0" w:color="auto"/>
            <w:left w:val="none" w:sz="0" w:space="0" w:color="auto"/>
            <w:bottom w:val="none" w:sz="0" w:space="0" w:color="auto"/>
            <w:right w:val="none" w:sz="0" w:space="0" w:color="auto"/>
          </w:divBdr>
        </w:div>
        <w:div w:id="213545043">
          <w:marLeft w:val="446"/>
          <w:marRight w:val="0"/>
          <w:marTop w:val="0"/>
          <w:marBottom w:val="0"/>
          <w:divBdr>
            <w:top w:val="none" w:sz="0" w:space="0" w:color="auto"/>
            <w:left w:val="none" w:sz="0" w:space="0" w:color="auto"/>
            <w:bottom w:val="none" w:sz="0" w:space="0" w:color="auto"/>
            <w:right w:val="none" w:sz="0" w:space="0" w:color="auto"/>
          </w:divBdr>
        </w:div>
        <w:div w:id="1839689613">
          <w:marLeft w:val="446"/>
          <w:marRight w:val="0"/>
          <w:marTop w:val="0"/>
          <w:marBottom w:val="0"/>
          <w:divBdr>
            <w:top w:val="none" w:sz="0" w:space="0" w:color="auto"/>
            <w:left w:val="none" w:sz="0" w:space="0" w:color="auto"/>
            <w:bottom w:val="none" w:sz="0" w:space="0" w:color="auto"/>
            <w:right w:val="none" w:sz="0" w:space="0" w:color="auto"/>
          </w:divBdr>
        </w:div>
        <w:div w:id="797064182">
          <w:marLeft w:val="446"/>
          <w:marRight w:val="0"/>
          <w:marTop w:val="0"/>
          <w:marBottom w:val="0"/>
          <w:divBdr>
            <w:top w:val="none" w:sz="0" w:space="0" w:color="auto"/>
            <w:left w:val="none" w:sz="0" w:space="0" w:color="auto"/>
            <w:bottom w:val="none" w:sz="0" w:space="0" w:color="auto"/>
            <w:right w:val="none" w:sz="0" w:space="0" w:color="auto"/>
          </w:divBdr>
        </w:div>
        <w:div w:id="380180701">
          <w:marLeft w:val="446"/>
          <w:marRight w:val="0"/>
          <w:marTop w:val="0"/>
          <w:marBottom w:val="0"/>
          <w:divBdr>
            <w:top w:val="none" w:sz="0" w:space="0" w:color="auto"/>
            <w:left w:val="none" w:sz="0" w:space="0" w:color="auto"/>
            <w:bottom w:val="none" w:sz="0" w:space="0" w:color="auto"/>
            <w:right w:val="none" w:sz="0" w:space="0" w:color="auto"/>
          </w:divBdr>
        </w:div>
        <w:div w:id="2120879517">
          <w:marLeft w:val="446"/>
          <w:marRight w:val="0"/>
          <w:marTop w:val="0"/>
          <w:marBottom w:val="0"/>
          <w:divBdr>
            <w:top w:val="none" w:sz="0" w:space="0" w:color="auto"/>
            <w:left w:val="none" w:sz="0" w:space="0" w:color="auto"/>
            <w:bottom w:val="none" w:sz="0" w:space="0" w:color="auto"/>
            <w:right w:val="none" w:sz="0" w:space="0" w:color="auto"/>
          </w:divBdr>
        </w:div>
        <w:div w:id="1712925315">
          <w:marLeft w:val="446"/>
          <w:marRight w:val="0"/>
          <w:marTop w:val="0"/>
          <w:marBottom w:val="0"/>
          <w:divBdr>
            <w:top w:val="none" w:sz="0" w:space="0" w:color="auto"/>
            <w:left w:val="none" w:sz="0" w:space="0" w:color="auto"/>
            <w:bottom w:val="none" w:sz="0" w:space="0" w:color="auto"/>
            <w:right w:val="none" w:sz="0" w:space="0" w:color="auto"/>
          </w:divBdr>
        </w:div>
        <w:div w:id="109251357">
          <w:marLeft w:val="446"/>
          <w:marRight w:val="0"/>
          <w:marTop w:val="0"/>
          <w:marBottom w:val="0"/>
          <w:divBdr>
            <w:top w:val="none" w:sz="0" w:space="0" w:color="auto"/>
            <w:left w:val="none" w:sz="0" w:space="0" w:color="auto"/>
            <w:bottom w:val="none" w:sz="0" w:space="0" w:color="auto"/>
            <w:right w:val="none" w:sz="0" w:space="0" w:color="auto"/>
          </w:divBdr>
        </w:div>
        <w:div w:id="522284557">
          <w:marLeft w:val="446"/>
          <w:marRight w:val="0"/>
          <w:marTop w:val="0"/>
          <w:marBottom w:val="0"/>
          <w:divBdr>
            <w:top w:val="none" w:sz="0" w:space="0" w:color="auto"/>
            <w:left w:val="none" w:sz="0" w:space="0" w:color="auto"/>
            <w:bottom w:val="none" w:sz="0" w:space="0" w:color="auto"/>
            <w:right w:val="none" w:sz="0" w:space="0" w:color="auto"/>
          </w:divBdr>
        </w:div>
      </w:divsChild>
    </w:div>
    <w:div w:id="630284235">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67">
      <w:bodyDiv w:val="1"/>
      <w:marLeft w:val="0"/>
      <w:marRight w:val="0"/>
      <w:marTop w:val="0"/>
      <w:marBottom w:val="0"/>
      <w:divBdr>
        <w:top w:val="none" w:sz="0" w:space="0" w:color="auto"/>
        <w:left w:val="none" w:sz="0" w:space="0" w:color="auto"/>
        <w:bottom w:val="none" w:sz="0" w:space="0" w:color="auto"/>
        <w:right w:val="none" w:sz="0" w:space="0" w:color="auto"/>
      </w:divBdr>
    </w:div>
    <w:div w:id="724110391">
      <w:bodyDiv w:val="1"/>
      <w:marLeft w:val="0"/>
      <w:marRight w:val="0"/>
      <w:marTop w:val="0"/>
      <w:marBottom w:val="0"/>
      <w:divBdr>
        <w:top w:val="none" w:sz="0" w:space="0" w:color="auto"/>
        <w:left w:val="none" w:sz="0" w:space="0" w:color="auto"/>
        <w:bottom w:val="none" w:sz="0" w:space="0" w:color="auto"/>
        <w:right w:val="none" w:sz="0" w:space="0" w:color="auto"/>
      </w:divBdr>
    </w:div>
    <w:div w:id="748044571">
      <w:bodyDiv w:val="1"/>
      <w:marLeft w:val="0"/>
      <w:marRight w:val="0"/>
      <w:marTop w:val="0"/>
      <w:marBottom w:val="0"/>
      <w:divBdr>
        <w:top w:val="none" w:sz="0" w:space="0" w:color="auto"/>
        <w:left w:val="none" w:sz="0" w:space="0" w:color="auto"/>
        <w:bottom w:val="none" w:sz="0" w:space="0" w:color="auto"/>
        <w:right w:val="none" w:sz="0" w:space="0" w:color="auto"/>
      </w:divBdr>
    </w:div>
    <w:div w:id="803622943">
      <w:bodyDiv w:val="1"/>
      <w:marLeft w:val="0"/>
      <w:marRight w:val="0"/>
      <w:marTop w:val="0"/>
      <w:marBottom w:val="0"/>
      <w:divBdr>
        <w:top w:val="none" w:sz="0" w:space="0" w:color="auto"/>
        <w:left w:val="none" w:sz="0" w:space="0" w:color="auto"/>
        <w:bottom w:val="none" w:sz="0" w:space="0" w:color="auto"/>
        <w:right w:val="none" w:sz="0" w:space="0" w:color="auto"/>
      </w:divBdr>
    </w:div>
    <w:div w:id="814882393">
      <w:bodyDiv w:val="1"/>
      <w:marLeft w:val="0"/>
      <w:marRight w:val="0"/>
      <w:marTop w:val="0"/>
      <w:marBottom w:val="0"/>
      <w:divBdr>
        <w:top w:val="none" w:sz="0" w:space="0" w:color="auto"/>
        <w:left w:val="none" w:sz="0" w:space="0" w:color="auto"/>
        <w:bottom w:val="none" w:sz="0" w:space="0" w:color="auto"/>
        <w:right w:val="none" w:sz="0" w:space="0" w:color="auto"/>
      </w:divBdr>
      <w:divsChild>
        <w:div w:id="1504929447">
          <w:marLeft w:val="0"/>
          <w:marRight w:val="0"/>
          <w:marTop w:val="0"/>
          <w:marBottom w:val="0"/>
          <w:divBdr>
            <w:top w:val="none" w:sz="0" w:space="0" w:color="auto"/>
            <w:left w:val="none" w:sz="0" w:space="0" w:color="auto"/>
            <w:bottom w:val="none" w:sz="0" w:space="0" w:color="auto"/>
            <w:right w:val="none" w:sz="0" w:space="0" w:color="auto"/>
          </w:divBdr>
          <w:divsChild>
            <w:div w:id="474638559">
              <w:marLeft w:val="0"/>
              <w:marRight w:val="0"/>
              <w:marTop w:val="0"/>
              <w:marBottom w:val="0"/>
              <w:divBdr>
                <w:top w:val="none" w:sz="0" w:space="0" w:color="auto"/>
                <w:left w:val="none" w:sz="0" w:space="0" w:color="auto"/>
                <w:bottom w:val="none" w:sz="0" w:space="0" w:color="auto"/>
                <w:right w:val="none" w:sz="0" w:space="0" w:color="auto"/>
              </w:divBdr>
              <w:divsChild>
                <w:div w:id="1166752546">
                  <w:marLeft w:val="0"/>
                  <w:marRight w:val="0"/>
                  <w:marTop w:val="0"/>
                  <w:marBottom w:val="0"/>
                  <w:divBdr>
                    <w:top w:val="single" w:sz="2" w:space="0" w:color="CCCCCC"/>
                    <w:left w:val="single" w:sz="2" w:space="0" w:color="CCCCCC"/>
                    <w:bottom w:val="single" w:sz="2" w:space="4" w:color="CCCCCC"/>
                    <w:right w:val="single" w:sz="2" w:space="0" w:color="CCCCCC"/>
                  </w:divBdr>
                </w:div>
              </w:divsChild>
            </w:div>
          </w:divsChild>
        </w:div>
      </w:divsChild>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038431272">
      <w:bodyDiv w:val="1"/>
      <w:marLeft w:val="0"/>
      <w:marRight w:val="0"/>
      <w:marTop w:val="0"/>
      <w:marBottom w:val="0"/>
      <w:divBdr>
        <w:top w:val="none" w:sz="0" w:space="0" w:color="auto"/>
        <w:left w:val="none" w:sz="0" w:space="0" w:color="auto"/>
        <w:bottom w:val="none" w:sz="0" w:space="0" w:color="auto"/>
        <w:right w:val="none" w:sz="0" w:space="0" w:color="auto"/>
      </w:divBdr>
    </w:div>
    <w:div w:id="1180389460">
      <w:bodyDiv w:val="1"/>
      <w:marLeft w:val="0"/>
      <w:marRight w:val="0"/>
      <w:marTop w:val="0"/>
      <w:marBottom w:val="0"/>
      <w:divBdr>
        <w:top w:val="none" w:sz="0" w:space="0" w:color="auto"/>
        <w:left w:val="none" w:sz="0" w:space="0" w:color="auto"/>
        <w:bottom w:val="none" w:sz="0" w:space="0" w:color="auto"/>
        <w:right w:val="none" w:sz="0" w:space="0" w:color="auto"/>
      </w:divBdr>
      <w:divsChild>
        <w:div w:id="394205870">
          <w:marLeft w:val="274"/>
          <w:marRight w:val="0"/>
          <w:marTop w:val="0"/>
          <w:marBottom w:val="0"/>
          <w:divBdr>
            <w:top w:val="none" w:sz="0" w:space="0" w:color="auto"/>
            <w:left w:val="none" w:sz="0" w:space="0" w:color="auto"/>
            <w:bottom w:val="none" w:sz="0" w:space="0" w:color="auto"/>
            <w:right w:val="none" w:sz="0" w:space="0" w:color="auto"/>
          </w:divBdr>
        </w:div>
        <w:div w:id="2100440120">
          <w:marLeft w:val="274"/>
          <w:marRight w:val="0"/>
          <w:marTop w:val="0"/>
          <w:marBottom w:val="0"/>
          <w:divBdr>
            <w:top w:val="none" w:sz="0" w:space="0" w:color="auto"/>
            <w:left w:val="none" w:sz="0" w:space="0" w:color="auto"/>
            <w:bottom w:val="none" w:sz="0" w:space="0" w:color="auto"/>
            <w:right w:val="none" w:sz="0" w:space="0" w:color="auto"/>
          </w:divBdr>
        </w:div>
        <w:div w:id="1332099959">
          <w:marLeft w:val="274"/>
          <w:marRight w:val="0"/>
          <w:marTop w:val="0"/>
          <w:marBottom w:val="0"/>
          <w:divBdr>
            <w:top w:val="none" w:sz="0" w:space="0" w:color="auto"/>
            <w:left w:val="none" w:sz="0" w:space="0" w:color="auto"/>
            <w:bottom w:val="none" w:sz="0" w:space="0" w:color="auto"/>
            <w:right w:val="none" w:sz="0" w:space="0" w:color="auto"/>
          </w:divBdr>
        </w:div>
        <w:div w:id="1051660775">
          <w:marLeft w:val="274"/>
          <w:marRight w:val="0"/>
          <w:marTop w:val="0"/>
          <w:marBottom w:val="0"/>
          <w:divBdr>
            <w:top w:val="none" w:sz="0" w:space="0" w:color="auto"/>
            <w:left w:val="none" w:sz="0" w:space="0" w:color="auto"/>
            <w:bottom w:val="none" w:sz="0" w:space="0" w:color="auto"/>
            <w:right w:val="none" w:sz="0" w:space="0" w:color="auto"/>
          </w:divBdr>
        </w:div>
        <w:div w:id="2008048612">
          <w:marLeft w:val="274"/>
          <w:marRight w:val="0"/>
          <w:marTop w:val="0"/>
          <w:marBottom w:val="0"/>
          <w:divBdr>
            <w:top w:val="none" w:sz="0" w:space="0" w:color="auto"/>
            <w:left w:val="none" w:sz="0" w:space="0" w:color="auto"/>
            <w:bottom w:val="none" w:sz="0" w:space="0" w:color="auto"/>
            <w:right w:val="none" w:sz="0" w:space="0" w:color="auto"/>
          </w:divBdr>
        </w:div>
        <w:div w:id="1395204773">
          <w:marLeft w:val="274"/>
          <w:marRight w:val="0"/>
          <w:marTop w:val="0"/>
          <w:marBottom w:val="0"/>
          <w:divBdr>
            <w:top w:val="none" w:sz="0" w:space="0" w:color="auto"/>
            <w:left w:val="none" w:sz="0" w:space="0" w:color="auto"/>
            <w:bottom w:val="none" w:sz="0" w:space="0" w:color="auto"/>
            <w:right w:val="none" w:sz="0" w:space="0" w:color="auto"/>
          </w:divBdr>
        </w:div>
        <w:div w:id="1715696549">
          <w:marLeft w:val="274"/>
          <w:marRight w:val="0"/>
          <w:marTop w:val="0"/>
          <w:marBottom w:val="0"/>
          <w:divBdr>
            <w:top w:val="none" w:sz="0" w:space="0" w:color="auto"/>
            <w:left w:val="none" w:sz="0" w:space="0" w:color="auto"/>
            <w:bottom w:val="none" w:sz="0" w:space="0" w:color="auto"/>
            <w:right w:val="none" w:sz="0" w:space="0" w:color="auto"/>
          </w:divBdr>
        </w:div>
        <w:div w:id="1170369274">
          <w:marLeft w:val="274"/>
          <w:marRight w:val="0"/>
          <w:marTop w:val="0"/>
          <w:marBottom w:val="0"/>
          <w:divBdr>
            <w:top w:val="none" w:sz="0" w:space="0" w:color="auto"/>
            <w:left w:val="none" w:sz="0" w:space="0" w:color="auto"/>
            <w:bottom w:val="none" w:sz="0" w:space="0" w:color="auto"/>
            <w:right w:val="none" w:sz="0" w:space="0" w:color="auto"/>
          </w:divBdr>
        </w:div>
        <w:div w:id="1721249370">
          <w:marLeft w:val="274"/>
          <w:marRight w:val="0"/>
          <w:marTop w:val="0"/>
          <w:marBottom w:val="0"/>
          <w:divBdr>
            <w:top w:val="none" w:sz="0" w:space="0" w:color="auto"/>
            <w:left w:val="none" w:sz="0" w:space="0" w:color="auto"/>
            <w:bottom w:val="none" w:sz="0" w:space="0" w:color="auto"/>
            <w:right w:val="none" w:sz="0" w:space="0" w:color="auto"/>
          </w:divBdr>
        </w:div>
        <w:div w:id="445123672">
          <w:marLeft w:val="274"/>
          <w:marRight w:val="0"/>
          <w:marTop w:val="0"/>
          <w:marBottom w:val="0"/>
          <w:divBdr>
            <w:top w:val="none" w:sz="0" w:space="0" w:color="auto"/>
            <w:left w:val="none" w:sz="0" w:space="0" w:color="auto"/>
            <w:bottom w:val="none" w:sz="0" w:space="0" w:color="auto"/>
            <w:right w:val="none" w:sz="0" w:space="0" w:color="auto"/>
          </w:divBdr>
        </w:div>
        <w:div w:id="1722704031">
          <w:marLeft w:val="274"/>
          <w:marRight w:val="0"/>
          <w:marTop w:val="0"/>
          <w:marBottom w:val="0"/>
          <w:divBdr>
            <w:top w:val="none" w:sz="0" w:space="0" w:color="auto"/>
            <w:left w:val="none" w:sz="0" w:space="0" w:color="auto"/>
            <w:bottom w:val="none" w:sz="0" w:space="0" w:color="auto"/>
            <w:right w:val="none" w:sz="0" w:space="0" w:color="auto"/>
          </w:divBdr>
        </w:div>
        <w:div w:id="2016104546">
          <w:marLeft w:val="274"/>
          <w:marRight w:val="0"/>
          <w:marTop w:val="0"/>
          <w:marBottom w:val="0"/>
          <w:divBdr>
            <w:top w:val="none" w:sz="0" w:space="0" w:color="auto"/>
            <w:left w:val="none" w:sz="0" w:space="0" w:color="auto"/>
            <w:bottom w:val="none" w:sz="0" w:space="0" w:color="auto"/>
            <w:right w:val="none" w:sz="0" w:space="0" w:color="auto"/>
          </w:divBdr>
        </w:div>
        <w:div w:id="2099405247">
          <w:marLeft w:val="274"/>
          <w:marRight w:val="0"/>
          <w:marTop w:val="0"/>
          <w:marBottom w:val="0"/>
          <w:divBdr>
            <w:top w:val="none" w:sz="0" w:space="0" w:color="auto"/>
            <w:left w:val="none" w:sz="0" w:space="0" w:color="auto"/>
            <w:bottom w:val="none" w:sz="0" w:space="0" w:color="auto"/>
            <w:right w:val="none" w:sz="0" w:space="0" w:color="auto"/>
          </w:divBdr>
        </w:div>
        <w:div w:id="1862206648">
          <w:marLeft w:val="274"/>
          <w:marRight w:val="0"/>
          <w:marTop w:val="0"/>
          <w:marBottom w:val="0"/>
          <w:divBdr>
            <w:top w:val="none" w:sz="0" w:space="0" w:color="auto"/>
            <w:left w:val="none" w:sz="0" w:space="0" w:color="auto"/>
            <w:bottom w:val="none" w:sz="0" w:space="0" w:color="auto"/>
            <w:right w:val="none" w:sz="0" w:space="0" w:color="auto"/>
          </w:divBdr>
        </w:div>
        <w:div w:id="622661540">
          <w:marLeft w:val="274"/>
          <w:marRight w:val="0"/>
          <w:marTop w:val="0"/>
          <w:marBottom w:val="0"/>
          <w:divBdr>
            <w:top w:val="none" w:sz="0" w:space="0" w:color="auto"/>
            <w:left w:val="none" w:sz="0" w:space="0" w:color="auto"/>
            <w:bottom w:val="none" w:sz="0" w:space="0" w:color="auto"/>
            <w:right w:val="none" w:sz="0" w:space="0" w:color="auto"/>
          </w:divBdr>
        </w:div>
        <w:div w:id="1175654631">
          <w:marLeft w:val="274"/>
          <w:marRight w:val="0"/>
          <w:marTop w:val="0"/>
          <w:marBottom w:val="0"/>
          <w:divBdr>
            <w:top w:val="none" w:sz="0" w:space="0" w:color="auto"/>
            <w:left w:val="none" w:sz="0" w:space="0" w:color="auto"/>
            <w:bottom w:val="none" w:sz="0" w:space="0" w:color="auto"/>
            <w:right w:val="none" w:sz="0" w:space="0" w:color="auto"/>
          </w:divBdr>
        </w:div>
        <w:div w:id="484052550">
          <w:marLeft w:val="274"/>
          <w:marRight w:val="0"/>
          <w:marTop w:val="0"/>
          <w:marBottom w:val="0"/>
          <w:divBdr>
            <w:top w:val="none" w:sz="0" w:space="0" w:color="auto"/>
            <w:left w:val="none" w:sz="0" w:space="0" w:color="auto"/>
            <w:bottom w:val="none" w:sz="0" w:space="0" w:color="auto"/>
            <w:right w:val="none" w:sz="0" w:space="0" w:color="auto"/>
          </w:divBdr>
        </w:div>
        <w:div w:id="727387488">
          <w:marLeft w:val="274"/>
          <w:marRight w:val="0"/>
          <w:marTop w:val="0"/>
          <w:marBottom w:val="0"/>
          <w:divBdr>
            <w:top w:val="none" w:sz="0" w:space="0" w:color="auto"/>
            <w:left w:val="none" w:sz="0" w:space="0" w:color="auto"/>
            <w:bottom w:val="none" w:sz="0" w:space="0" w:color="auto"/>
            <w:right w:val="none" w:sz="0" w:space="0" w:color="auto"/>
          </w:divBdr>
        </w:div>
        <w:div w:id="1509905941">
          <w:marLeft w:val="274"/>
          <w:marRight w:val="0"/>
          <w:marTop w:val="0"/>
          <w:marBottom w:val="0"/>
          <w:divBdr>
            <w:top w:val="none" w:sz="0" w:space="0" w:color="auto"/>
            <w:left w:val="none" w:sz="0" w:space="0" w:color="auto"/>
            <w:bottom w:val="none" w:sz="0" w:space="0" w:color="auto"/>
            <w:right w:val="none" w:sz="0" w:space="0" w:color="auto"/>
          </w:divBdr>
        </w:div>
        <w:div w:id="1801727251">
          <w:marLeft w:val="274"/>
          <w:marRight w:val="0"/>
          <w:marTop w:val="0"/>
          <w:marBottom w:val="0"/>
          <w:divBdr>
            <w:top w:val="none" w:sz="0" w:space="0" w:color="auto"/>
            <w:left w:val="none" w:sz="0" w:space="0" w:color="auto"/>
            <w:bottom w:val="none" w:sz="0" w:space="0" w:color="auto"/>
            <w:right w:val="none" w:sz="0" w:space="0" w:color="auto"/>
          </w:divBdr>
        </w:div>
        <w:div w:id="1355571807">
          <w:marLeft w:val="274"/>
          <w:marRight w:val="0"/>
          <w:marTop w:val="0"/>
          <w:marBottom w:val="0"/>
          <w:divBdr>
            <w:top w:val="none" w:sz="0" w:space="0" w:color="auto"/>
            <w:left w:val="none" w:sz="0" w:space="0" w:color="auto"/>
            <w:bottom w:val="none" w:sz="0" w:space="0" w:color="auto"/>
            <w:right w:val="none" w:sz="0" w:space="0" w:color="auto"/>
          </w:divBdr>
        </w:div>
        <w:div w:id="1701205298">
          <w:marLeft w:val="274"/>
          <w:marRight w:val="0"/>
          <w:marTop w:val="0"/>
          <w:marBottom w:val="0"/>
          <w:divBdr>
            <w:top w:val="none" w:sz="0" w:space="0" w:color="auto"/>
            <w:left w:val="none" w:sz="0" w:space="0" w:color="auto"/>
            <w:bottom w:val="none" w:sz="0" w:space="0" w:color="auto"/>
            <w:right w:val="none" w:sz="0" w:space="0" w:color="auto"/>
          </w:divBdr>
        </w:div>
        <w:div w:id="493684110">
          <w:marLeft w:val="274"/>
          <w:marRight w:val="0"/>
          <w:marTop w:val="0"/>
          <w:marBottom w:val="0"/>
          <w:divBdr>
            <w:top w:val="none" w:sz="0" w:space="0" w:color="auto"/>
            <w:left w:val="none" w:sz="0" w:space="0" w:color="auto"/>
            <w:bottom w:val="none" w:sz="0" w:space="0" w:color="auto"/>
            <w:right w:val="none" w:sz="0" w:space="0" w:color="auto"/>
          </w:divBdr>
        </w:div>
        <w:div w:id="1942763069">
          <w:marLeft w:val="274"/>
          <w:marRight w:val="0"/>
          <w:marTop w:val="0"/>
          <w:marBottom w:val="0"/>
          <w:divBdr>
            <w:top w:val="none" w:sz="0" w:space="0" w:color="auto"/>
            <w:left w:val="none" w:sz="0" w:space="0" w:color="auto"/>
            <w:bottom w:val="none" w:sz="0" w:space="0" w:color="auto"/>
            <w:right w:val="none" w:sz="0" w:space="0" w:color="auto"/>
          </w:divBdr>
        </w:div>
        <w:div w:id="1678540581">
          <w:marLeft w:val="274"/>
          <w:marRight w:val="0"/>
          <w:marTop w:val="0"/>
          <w:marBottom w:val="0"/>
          <w:divBdr>
            <w:top w:val="none" w:sz="0" w:space="0" w:color="auto"/>
            <w:left w:val="none" w:sz="0" w:space="0" w:color="auto"/>
            <w:bottom w:val="none" w:sz="0" w:space="0" w:color="auto"/>
            <w:right w:val="none" w:sz="0" w:space="0" w:color="auto"/>
          </w:divBdr>
        </w:div>
        <w:div w:id="601256395">
          <w:marLeft w:val="274"/>
          <w:marRight w:val="0"/>
          <w:marTop w:val="0"/>
          <w:marBottom w:val="0"/>
          <w:divBdr>
            <w:top w:val="none" w:sz="0" w:space="0" w:color="auto"/>
            <w:left w:val="none" w:sz="0" w:space="0" w:color="auto"/>
            <w:bottom w:val="none" w:sz="0" w:space="0" w:color="auto"/>
            <w:right w:val="none" w:sz="0" w:space="0" w:color="auto"/>
          </w:divBdr>
        </w:div>
        <w:div w:id="176047414">
          <w:marLeft w:val="274"/>
          <w:marRight w:val="0"/>
          <w:marTop w:val="0"/>
          <w:marBottom w:val="0"/>
          <w:divBdr>
            <w:top w:val="none" w:sz="0" w:space="0" w:color="auto"/>
            <w:left w:val="none" w:sz="0" w:space="0" w:color="auto"/>
            <w:bottom w:val="none" w:sz="0" w:space="0" w:color="auto"/>
            <w:right w:val="none" w:sz="0" w:space="0" w:color="auto"/>
          </w:divBdr>
        </w:div>
        <w:div w:id="1350595214">
          <w:marLeft w:val="274"/>
          <w:marRight w:val="0"/>
          <w:marTop w:val="0"/>
          <w:marBottom w:val="0"/>
          <w:divBdr>
            <w:top w:val="none" w:sz="0" w:space="0" w:color="auto"/>
            <w:left w:val="none" w:sz="0" w:space="0" w:color="auto"/>
            <w:bottom w:val="none" w:sz="0" w:space="0" w:color="auto"/>
            <w:right w:val="none" w:sz="0" w:space="0" w:color="auto"/>
          </w:divBdr>
        </w:div>
        <w:div w:id="1167137464">
          <w:marLeft w:val="274"/>
          <w:marRight w:val="0"/>
          <w:marTop w:val="0"/>
          <w:marBottom w:val="0"/>
          <w:divBdr>
            <w:top w:val="none" w:sz="0" w:space="0" w:color="auto"/>
            <w:left w:val="none" w:sz="0" w:space="0" w:color="auto"/>
            <w:bottom w:val="none" w:sz="0" w:space="0" w:color="auto"/>
            <w:right w:val="none" w:sz="0" w:space="0" w:color="auto"/>
          </w:divBdr>
        </w:div>
        <w:div w:id="1308167934">
          <w:marLeft w:val="274"/>
          <w:marRight w:val="0"/>
          <w:marTop w:val="0"/>
          <w:marBottom w:val="0"/>
          <w:divBdr>
            <w:top w:val="none" w:sz="0" w:space="0" w:color="auto"/>
            <w:left w:val="none" w:sz="0" w:space="0" w:color="auto"/>
            <w:bottom w:val="none" w:sz="0" w:space="0" w:color="auto"/>
            <w:right w:val="none" w:sz="0" w:space="0" w:color="auto"/>
          </w:divBdr>
        </w:div>
        <w:div w:id="2009746473">
          <w:marLeft w:val="274"/>
          <w:marRight w:val="0"/>
          <w:marTop w:val="0"/>
          <w:marBottom w:val="0"/>
          <w:divBdr>
            <w:top w:val="none" w:sz="0" w:space="0" w:color="auto"/>
            <w:left w:val="none" w:sz="0" w:space="0" w:color="auto"/>
            <w:bottom w:val="none" w:sz="0" w:space="0" w:color="auto"/>
            <w:right w:val="none" w:sz="0" w:space="0" w:color="auto"/>
          </w:divBdr>
        </w:div>
        <w:div w:id="1042244369">
          <w:marLeft w:val="274"/>
          <w:marRight w:val="0"/>
          <w:marTop w:val="0"/>
          <w:marBottom w:val="0"/>
          <w:divBdr>
            <w:top w:val="none" w:sz="0" w:space="0" w:color="auto"/>
            <w:left w:val="none" w:sz="0" w:space="0" w:color="auto"/>
            <w:bottom w:val="none" w:sz="0" w:space="0" w:color="auto"/>
            <w:right w:val="none" w:sz="0" w:space="0" w:color="auto"/>
          </w:divBdr>
        </w:div>
        <w:div w:id="926810928">
          <w:marLeft w:val="274"/>
          <w:marRight w:val="0"/>
          <w:marTop w:val="0"/>
          <w:marBottom w:val="0"/>
          <w:divBdr>
            <w:top w:val="none" w:sz="0" w:space="0" w:color="auto"/>
            <w:left w:val="none" w:sz="0" w:space="0" w:color="auto"/>
            <w:bottom w:val="none" w:sz="0" w:space="0" w:color="auto"/>
            <w:right w:val="none" w:sz="0" w:space="0" w:color="auto"/>
          </w:divBdr>
        </w:div>
        <w:div w:id="798302966">
          <w:marLeft w:val="274"/>
          <w:marRight w:val="0"/>
          <w:marTop w:val="0"/>
          <w:marBottom w:val="0"/>
          <w:divBdr>
            <w:top w:val="none" w:sz="0" w:space="0" w:color="auto"/>
            <w:left w:val="none" w:sz="0" w:space="0" w:color="auto"/>
            <w:bottom w:val="none" w:sz="0" w:space="0" w:color="auto"/>
            <w:right w:val="none" w:sz="0" w:space="0" w:color="auto"/>
          </w:divBdr>
        </w:div>
        <w:div w:id="1936789910">
          <w:marLeft w:val="274"/>
          <w:marRight w:val="0"/>
          <w:marTop w:val="0"/>
          <w:marBottom w:val="0"/>
          <w:divBdr>
            <w:top w:val="none" w:sz="0" w:space="0" w:color="auto"/>
            <w:left w:val="none" w:sz="0" w:space="0" w:color="auto"/>
            <w:bottom w:val="none" w:sz="0" w:space="0" w:color="auto"/>
            <w:right w:val="none" w:sz="0" w:space="0" w:color="auto"/>
          </w:divBdr>
        </w:div>
        <w:div w:id="958026942">
          <w:marLeft w:val="274"/>
          <w:marRight w:val="0"/>
          <w:marTop w:val="0"/>
          <w:marBottom w:val="0"/>
          <w:divBdr>
            <w:top w:val="none" w:sz="0" w:space="0" w:color="auto"/>
            <w:left w:val="none" w:sz="0" w:space="0" w:color="auto"/>
            <w:bottom w:val="none" w:sz="0" w:space="0" w:color="auto"/>
            <w:right w:val="none" w:sz="0" w:space="0" w:color="auto"/>
          </w:divBdr>
        </w:div>
        <w:div w:id="112140186">
          <w:marLeft w:val="274"/>
          <w:marRight w:val="0"/>
          <w:marTop w:val="0"/>
          <w:marBottom w:val="0"/>
          <w:divBdr>
            <w:top w:val="none" w:sz="0" w:space="0" w:color="auto"/>
            <w:left w:val="none" w:sz="0" w:space="0" w:color="auto"/>
            <w:bottom w:val="none" w:sz="0" w:space="0" w:color="auto"/>
            <w:right w:val="none" w:sz="0" w:space="0" w:color="auto"/>
          </w:divBdr>
        </w:div>
        <w:div w:id="457720015">
          <w:marLeft w:val="274"/>
          <w:marRight w:val="0"/>
          <w:marTop w:val="0"/>
          <w:marBottom w:val="0"/>
          <w:divBdr>
            <w:top w:val="none" w:sz="0" w:space="0" w:color="auto"/>
            <w:left w:val="none" w:sz="0" w:space="0" w:color="auto"/>
            <w:bottom w:val="none" w:sz="0" w:space="0" w:color="auto"/>
            <w:right w:val="none" w:sz="0" w:space="0" w:color="auto"/>
          </w:divBdr>
        </w:div>
        <w:div w:id="964042900">
          <w:marLeft w:val="274"/>
          <w:marRight w:val="0"/>
          <w:marTop w:val="0"/>
          <w:marBottom w:val="0"/>
          <w:divBdr>
            <w:top w:val="none" w:sz="0" w:space="0" w:color="auto"/>
            <w:left w:val="none" w:sz="0" w:space="0" w:color="auto"/>
            <w:bottom w:val="none" w:sz="0" w:space="0" w:color="auto"/>
            <w:right w:val="none" w:sz="0" w:space="0" w:color="auto"/>
          </w:divBdr>
        </w:div>
        <w:div w:id="1562667894">
          <w:marLeft w:val="274"/>
          <w:marRight w:val="0"/>
          <w:marTop w:val="0"/>
          <w:marBottom w:val="0"/>
          <w:divBdr>
            <w:top w:val="none" w:sz="0" w:space="0" w:color="auto"/>
            <w:left w:val="none" w:sz="0" w:space="0" w:color="auto"/>
            <w:bottom w:val="none" w:sz="0" w:space="0" w:color="auto"/>
            <w:right w:val="none" w:sz="0" w:space="0" w:color="auto"/>
          </w:divBdr>
        </w:div>
        <w:div w:id="561254415">
          <w:marLeft w:val="274"/>
          <w:marRight w:val="0"/>
          <w:marTop w:val="0"/>
          <w:marBottom w:val="0"/>
          <w:divBdr>
            <w:top w:val="none" w:sz="0" w:space="0" w:color="auto"/>
            <w:left w:val="none" w:sz="0" w:space="0" w:color="auto"/>
            <w:bottom w:val="none" w:sz="0" w:space="0" w:color="auto"/>
            <w:right w:val="none" w:sz="0" w:space="0" w:color="auto"/>
          </w:divBdr>
        </w:div>
        <w:div w:id="1000238411">
          <w:marLeft w:val="274"/>
          <w:marRight w:val="0"/>
          <w:marTop w:val="0"/>
          <w:marBottom w:val="0"/>
          <w:divBdr>
            <w:top w:val="none" w:sz="0" w:space="0" w:color="auto"/>
            <w:left w:val="none" w:sz="0" w:space="0" w:color="auto"/>
            <w:bottom w:val="none" w:sz="0" w:space="0" w:color="auto"/>
            <w:right w:val="none" w:sz="0" w:space="0" w:color="auto"/>
          </w:divBdr>
        </w:div>
        <w:div w:id="531966311">
          <w:marLeft w:val="274"/>
          <w:marRight w:val="0"/>
          <w:marTop w:val="0"/>
          <w:marBottom w:val="0"/>
          <w:divBdr>
            <w:top w:val="none" w:sz="0" w:space="0" w:color="auto"/>
            <w:left w:val="none" w:sz="0" w:space="0" w:color="auto"/>
            <w:bottom w:val="none" w:sz="0" w:space="0" w:color="auto"/>
            <w:right w:val="none" w:sz="0" w:space="0" w:color="auto"/>
          </w:divBdr>
        </w:div>
        <w:div w:id="787089549">
          <w:marLeft w:val="274"/>
          <w:marRight w:val="0"/>
          <w:marTop w:val="0"/>
          <w:marBottom w:val="0"/>
          <w:divBdr>
            <w:top w:val="none" w:sz="0" w:space="0" w:color="auto"/>
            <w:left w:val="none" w:sz="0" w:space="0" w:color="auto"/>
            <w:bottom w:val="none" w:sz="0" w:space="0" w:color="auto"/>
            <w:right w:val="none" w:sz="0" w:space="0" w:color="auto"/>
          </w:divBdr>
        </w:div>
        <w:div w:id="956136573">
          <w:marLeft w:val="274"/>
          <w:marRight w:val="0"/>
          <w:marTop w:val="0"/>
          <w:marBottom w:val="0"/>
          <w:divBdr>
            <w:top w:val="none" w:sz="0" w:space="0" w:color="auto"/>
            <w:left w:val="none" w:sz="0" w:space="0" w:color="auto"/>
            <w:bottom w:val="none" w:sz="0" w:space="0" w:color="auto"/>
            <w:right w:val="none" w:sz="0" w:space="0" w:color="auto"/>
          </w:divBdr>
        </w:div>
        <w:div w:id="1576665396">
          <w:marLeft w:val="274"/>
          <w:marRight w:val="0"/>
          <w:marTop w:val="0"/>
          <w:marBottom w:val="0"/>
          <w:divBdr>
            <w:top w:val="none" w:sz="0" w:space="0" w:color="auto"/>
            <w:left w:val="none" w:sz="0" w:space="0" w:color="auto"/>
            <w:bottom w:val="none" w:sz="0" w:space="0" w:color="auto"/>
            <w:right w:val="none" w:sz="0" w:space="0" w:color="auto"/>
          </w:divBdr>
        </w:div>
        <w:div w:id="1841654304">
          <w:marLeft w:val="274"/>
          <w:marRight w:val="0"/>
          <w:marTop w:val="0"/>
          <w:marBottom w:val="0"/>
          <w:divBdr>
            <w:top w:val="none" w:sz="0" w:space="0" w:color="auto"/>
            <w:left w:val="none" w:sz="0" w:space="0" w:color="auto"/>
            <w:bottom w:val="none" w:sz="0" w:space="0" w:color="auto"/>
            <w:right w:val="none" w:sz="0" w:space="0" w:color="auto"/>
          </w:divBdr>
        </w:div>
        <w:div w:id="1270770281">
          <w:marLeft w:val="274"/>
          <w:marRight w:val="0"/>
          <w:marTop w:val="0"/>
          <w:marBottom w:val="0"/>
          <w:divBdr>
            <w:top w:val="none" w:sz="0" w:space="0" w:color="auto"/>
            <w:left w:val="none" w:sz="0" w:space="0" w:color="auto"/>
            <w:bottom w:val="none" w:sz="0" w:space="0" w:color="auto"/>
            <w:right w:val="none" w:sz="0" w:space="0" w:color="auto"/>
          </w:divBdr>
        </w:div>
        <w:div w:id="291794227">
          <w:marLeft w:val="274"/>
          <w:marRight w:val="0"/>
          <w:marTop w:val="0"/>
          <w:marBottom w:val="0"/>
          <w:divBdr>
            <w:top w:val="none" w:sz="0" w:space="0" w:color="auto"/>
            <w:left w:val="none" w:sz="0" w:space="0" w:color="auto"/>
            <w:bottom w:val="none" w:sz="0" w:space="0" w:color="auto"/>
            <w:right w:val="none" w:sz="0" w:space="0" w:color="auto"/>
          </w:divBdr>
        </w:div>
        <w:div w:id="711467240">
          <w:marLeft w:val="274"/>
          <w:marRight w:val="0"/>
          <w:marTop w:val="0"/>
          <w:marBottom w:val="0"/>
          <w:divBdr>
            <w:top w:val="none" w:sz="0" w:space="0" w:color="auto"/>
            <w:left w:val="none" w:sz="0" w:space="0" w:color="auto"/>
            <w:bottom w:val="none" w:sz="0" w:space="0" w:color="auto"/>
            <w:right w:val="none" w:sz="0" w:space="0" w:color="auto"/>
          </w:divBdr>
        </w:div>
        <w:div w:id="286931823">
          <w:marLeft w:val="274"/>
          <w:marRight w:val="0"/>
          <w:marTop w:val="0"/>
          <w:marBottom w:val="0"/>
          <w:divBdr>
            <w:top w:val="none" w:sz="0" w:space="0" w:color="auto"/>
            <w:left w:val="none" w:sz="0" w:space="0" w:color="auto"/>
            <w:bottom w:val="none" w:sz="0" w:space="0" w:color="auto"/>
            <w:right w:val="none" w:sz="0" w:space="0" w:color="auto"/>
          </w:divBdr>
        </w:div>
        <w:div w:id="1541283594">
          <w:marLeft w:val="274"/>
          <w:marRight w:val="0"/>
          <w:marTop w:val="0"/>
          <w:marBottom w:val="0"/>
          <w:divBdr>
            <w:top w:val="none" w:sz="0" w:space="0" w:color="auto"/>
            <w:left w:val="none" w:sz="0" w:space="0" w:color="auto"/>
            <w:bottom w:val="none" w:sz="0" w:space="0" w:color="auto"/>
            <w:right w:val="none" w:sz="0" w:space="0" w:color="auto"/>
          </w:divBdr>
        </w:div>
        <w:div w:id="1504858813">
          <w:marLeft w:val="274"/>
          <w:marRight w:val="0"/>
          <w:marTop w:val="0"/>
          <w:marBottom w:val="0"/>
          <w:divBdr>
            <w:top w:val="none" w:sz="0" w:space="0" w:color="auto"/>
            <w:left w:val="none" w:sz="0" w:space="0" w:color="auto"/>
            <w:bottom w:val="none" w:sz="0" w:space="0" w:color="auto"/>
            <w:right w:val="none" w:sz="0" w:space="0" w:color="auto"/>
          </w:divBdr>
        </w:div>
      </w:divsChild>
    </w:div>
    <w:div w:id="1188519856">
      <w:bodyDiv w:val="1"/>
      <w:marLeft w:val="0"/>
      <w:marRight w:val="0"/>
      <w:marTop w:val="0"/>
      <w:marBottom w:val="0"/>
      <w:divBdr>
        <w:top w:val="none" w:sz="0" w:space="0" w:color="auto"/>
        <w:left w:val="none" w:sz="0" w:space="0" w:color="auto"/>
        <w:bottom w:val="none" w:sz="0" w:space="0" w:color="auto"/>
        <w:right w:val="none" w:sz="0" w:space="0" w:color="auto"/>
      </w:divBdr>
    </w:div>
    <w:div w:id="1193570158">
      <w:bodyDiv w:val="1"/>
      <w:marLeft w:val="0"/>
      <w:marRight w:val="0"/>
      <w:marTop w:val="0"/>
      <w:marBottom w:val="0"/>
      <w:divBdr>
        <w:top w:val="none" w:sz="0" w:space="0" w:color="auto"/>
        <w:left w:val="none" w:sz="0" w:space="0" w:color="auto"/>
        <w:bottom w:val="none" w:sz="0" w:space="0" w:color="auto"/>
        <w:right w:val="none" w:sz="0" w:space="0" w:color="auto"/>
      </w:divBdr>
    </w:div>
    <w:div w:id="1201167697">
      <w:bodyDiv w:val="1"/>
      <w:marLeft w:val="0"/>
      <w:marRight w:val="0"/>
      <w:marTop w:val="0"/>
      <w:marBottom w:val="0"/>
      <w:divBdr>
        <w:top w:val="none" w:sz="0" w:space="0" w:color="auto"/>
        <w:left w:val="none" w:sz="0" w:space="0" w:color="auto"/>
        <w:bottom w:val="none" w:sz="0" w:space="0" w:color="auto"/>
        <w:right w:val="none" w:sz="0" w:space="0" w:color="auto"/>
      </w:divBdr>
      <w:divsChild>
        <w:div w:id="1654018802">
          <w:marLeft w:val="446"/>
          <w:marRight w:val="58"/>
          <w:marTop w:val="0"/>
          <w:marBottom w:val="148"/>
          <w:divBdr>
            <w:top w:val="none" w:sz="0" w:space="0" w:color="auto"/>
            <w:left w:val="none" w:sz="0" w:space="0" w:color="auto"/>
            <w:bottom w:val="none" w:sz="0" w:space="0" w:color="auto"/>
            <w:right w:val="none" w:sz="0" w:space="0" w:color="auto"/>
          </w:divBdr>
        </w:div>
        <w:div w:id="1582370011">
          <w:marLeft w:val="547"/>
          <w:marRight w:val="58"/>
          <w:marTop w:val="0"/>
          <w:marBottom w:val="148"/>
          <w:divBdr>
            <w:top w:val="none" w:sz="0" w:space="0" w:color="auto"/>
            <w:left w:val="none" w:sz="0" w:space="0" w:color="auto"/>
            <w:bottom w:val="none" w:sz="0" w:space="0" w:color="auto"/>
            <w:right w:val="none" w:sz="0" w:space="0" w:color="auto"/>
          </w:divBdr>
        </w:div>
        <w:div w:id="43457001">
          <w:marLeft w:val="547"/>
          <w:marRight w:val="58"/>
          <w:marTop w:val="0"/>
          <w:marBottom w:val="148"/>
          <w:divBdr>
            <w:top w:val="none" w:sz="0" w:space="0" w:color="auto"/>
            <w:left w:val="none" w:sz="0" w:space="0" w:color="auto"/>
            <w:bottom w:val="none" w:sz="0" w:space="0" w:color="auto"/>
            <w:right w:val="none" w:sz="0" w:space="0" w:color="auto"/>
          </w:divBdr>
        </w:div>
        <w:div w:id="127205453">
          <w:marLeft w:val="547"/>
          <w:marRight w:val="58"/>
          <w:marTop w:val="0"/>
          <w:marBottom w:val="148"/>
          <w:divBdr>
            <w:top w:val="none" w:sz="0" w:space="0" w:color="auto"/>
            <w:left w:val="none" w:sz="0" w:space="0" w:color="auto"/>
            <w:bottom w:val="none" w:sz="0" w:space="0" w:color="auto"/>
            <w:right w:val="none" w:sz="0" w:space="0" w:color="auto"/>
          </w:divBdr>
        </w:div>
        <w:div w:id="556280281">
          <w:marLeft w:val="547"/>
          <w:marRight w:val="58"/>
          <w:marTop w:val="0"/>
          <w:marBottom w:val="148"/>
          <w:divBdr>
            <w:top w:val="none" w:sz="0" w:space="0" w:color="auto"/>
            <w:left w:val="none" w:sz="0" w:space="0" w:color="auto"/>
            <w:bottom w:val="none" w:sz="0" w:space="0" w:color="auto"/>
            <w:right w:val="none" w:sz="0" w:space="0" w:color="auto"/>
          </w:divBdr>
        </w:div>
        <w:div w:id="960379663">
          <w:marLeft w:val="547"/>
          <w:marRight w:val="58"/>
          <w:marTop w:val="0"/>
          <w:marBottom w:val="148"/>
          <w:divBdr>
            <w:top w:val="none" w:sz="0" w:space="0" w:color="auto"/>
            <w:left w:val="none" w:sz="0" w:space="0" w:color="auto"/>
            <w:bottom w:val="none" w:sz="0" w:space="0" w:color="auto"/>
            <w:right w:val="none" w:sz="0" w:space="0" w:color="auto"/>
          </w:divBdr>
        </w:div>
        <w:div w:id="1952778719">
          <w:marLeft w:val="547"/>
          <w:marRight w:val="58"/>
          <w:marTop w:val="0"/>
          <w:marBottom w:val="148"/>
          <w:divBdr>
            <w:top w:val="none" w:sz="0" w:space="0" w:color="auto"/>
            <w:left w:val="none" w:sz="0" w:space="0" w:color="auto"/>
            <w:bottom w:val="none" w:sz="0" w:space="0" w:color="auto"/>
            <w:right w:val="none" w:sz="0" w:space="0" w:color="auto"/>
          </w:divBdr>
        </w:div>
        <w:div w:id="2045519044">
          <w:marLeft w:val="547"/>
          <w:marRight w:val="58"/>
          <w:marTop w:val="0"/>
          <w:marBottom w:val="10"/>
          <w:divBdr>
            <w:top w:val="none" w:sz="0" w:space="0" w:color="auto"/>
            <w:left w:val="none" w:sz="0" w:space="0" w:color="auto"/>
            <w:bottom w:val="none" w:sz="0" w:space="0" w:color="auto"/>
            <w:right w:val="none" w:sz="0" w:space="0" w:color="auto"/>
          </w:divBdr>
        </w:div>
        <w:div w:id="1773474642">
          <w:marLeft w:val="547"/>
          <w:marRight w:val="58"/>
          <w:marTop w:val="0"/>
          <w:marBottom w:val="148"/>
          <w:divBdr>
            <w:top w:val="none" w:sz="0" w:space="0" w:color="auto"/>
            <w:left w:val="none" w:sz="0" w:space="0" w:color="auto"/>
            <w:bottom w:val="none" w:sz="0" w:space="0" w:color="auto"/>
            <w:right w:val="none" w:sz="0" w:space="0" w:color="auto"/>
          </w:divBdr>
        </w:div>
      </w:divsChild>
    </w:div>
    <w:div w:id="1232616874">
      <w:bodyDiv w:val="1"/>
      <w:marLeft w:val="0"/>
      <w:marRight w:val="0"/>
      <w:marTop w:val="0"/>
      <w:marBottom w:val="0"/>
      <w:divBdr>
        <w:top w:val="none" w:sz="0" w:space="0" w:color="auto"/>
        <w:left w:val="none" w:sz="0" w:space="0" w:color="auto"/>
        <w:bottom w:val="none" w:sz="0" w:space="0" w:color="auto"/>
        <w:right w:val="none" w:sz="0" w:space="0" w:color="auto"/>
      </w:divBdr>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285312094">
      <w:bodyDiv w:val="1"/>
      <w:marLeft w:val="0"/>
      <w:marRight w:val="0"/>
      <w:marTop w:val="0"/>
      <w:marBottom w:val="0"/>
      <w:divBdr>
        <w:top w:val="none" w:sz="0" w:space="0" w:color="auto"/>
        <w:left w:val="none" w:sz="0" w:space="0" w:color="auto"/>
        <w:bottom w:val="none" w:sz="0" w:space="0" w:color="auto"/>
        <w:right w:val="none" w:sz="0" w:space="0" w:color="auto"/>
      </w:divBdr>
      <w:divsChild>
        <w:div w:id="1269586144">
          <w:marLeft w:val="274"/>
          <w:marRight w:val="0"/>
          <w:marTop w:val="0"/>
          <w:marBottom w:val="0"/>
          <w:divBdr>
            <w:top w:val="none" w:sz="0" w:space="0" w:color="auto"/>
            <w:left w:val="none" w:sz="0" w:space="0" w:color="auto"/>
            <w:bottom w:val="none" w:sz="0" w:space="0" w:color="auto"/>
            <w:right w:val="none" w:sz="0" w:space="0" w:color="auto"/>
          </w:divBdr>
        </w:div>
        <w:div w:id="1879856040">
          <w:marLeft w:val="274"/>
          <w:marRight w:val="0"/>
          <w:marTop w:val="0"/>
          <w:marBottom w:val="0"/>
          <w:divBdr>
            <w:top w:val="none" w:sz="0" w:space="0" w:color="auto"/>
            <w:left w:val="none" w:sz="0" w:space="0" w:color="auto"/>
            <w:bottom w:val="none" w:sz="0" w:space="0" w:color="auto"/>
            <w:right w:val="none" w:sz="0" w:space="0" w:color="auto"/>
          </w:divBdr>
        </w:div>
        <w:div w:id="872881162">
          <w:marLeft w:val="274"/>
          <w:marRight w:val="0"/>
          <w:marTop w:val="0"/>
          <w:marBottom w:val="0"/>
          <w:divBdr>
            <w:top w:val="none" w:sz="0" w:space="0" w:color="auto"/>
            <w:left w:val="none" w:sz="0" w:space="0" w:color="auto"/>
            <w:bottom w:val="none" w:sz="0" w:space="0" w:color="auto"/>
            <w:right w:val="none" w:sz="0" w:space="0" w:color="auto"/>
          </w:divBdr>
        </w:div>
        <w:div w:id="2102482894">
          <w:marLeft w:val="274"/>
          <w:marRight w:val="0"/>
          <w:marTop w:val="0"/>
          <w:marBottom w:val="0"/>
          <w:divBdr>
            <w:top w:val="none" w:sz="0" w:space="0" w:color="auto"/>
            <w:left w:val="none" w:sz="0" w:space="0" w:color="auto"/>
            <w:bottom w:val="none" w:sz="0" w:space="0" w:color="auto"/>
            <w:right w:val="none" w:sz="0" w:space="0" w:color="auto"/>
          </w:divBdr>
        </w:div>
        <w:div w:id="9840261">
          <w:marLeft w:val="274"/>
          <w:marRight w:val="0"/>
          <w:marTop w:val="0"/>
          <w:marBottom w:val="0"/>
          <w:divBdr>
            <w:top w:val="none" w:sz="0" w:space="0" w:color="auto"/>
            <w:left w:val="none" w:sz="0" w:space="0" w:color="auto"/>
            <w:bottom w:val="none" w:sz="0" w:space="0" w:color="auto"/>
            <w:right w:val="none" w:sz="0" w:space="0" w:color="auto"/>
          </w:divBdr>
        </w:div>
        <w:div w:id="1165047614">
          <w:marLeft w:val="274"/>
          <w:marRight w:val="0"/>
          <w:marTop w:val="0"/>
          <w:marBottom w:val="0"/>
          <w:divBdr>
            <w:top w:val="none" w:sz="0" w:space="0" w:color="auto"/>
            <w:left w:val="none" w:sz="0" w:space="0" w:color="auto"/>
            <w:bottom w:val="none" w:sz="0" w:space="0" w:color="auto"/>
            <w:right w:val="none" w:sz="0" w:space="0" w:color="auto"/>
          </w:divBdr>
        </w:div>
        <w:div w:id="465972361">
          <w:marLeft w:val="274"/>
          <w:marRight w:val="0"/>
          <w:marTop w:val="0"/>
          <w:marBottom w:val="0"/>
          <w:divBdr>
            <w:top w:val="none" w:sz="0" w:space="0" w:color="auto"/>
            <w:left w:val="none" w:sz="0" w:space="0" w:color="auto"/>
            <w:bottom w:val="none" w:sz="0" w:space="0" w:color="auto"/>
            <w:right w:val="none" w:sz="0" w:space="0" w:color="auto"/>
          </w:divBdr>
        </w:div>
        <w:div w:id="14159165">
          <w:marLeft w:val="274"/>
          <w:marRight w:val="0"/>
          <w:marTop w:val="0"/>
          <w:marBottom w:val="0"/>
          <w:divBdr>
            <w:top w:val="none" w:sz="0" w:space="0" w:color="auto"/>
            <w:left w:val="none" w:sz="0" w:space="0" w:color="auto"/>
            <w:bottom w:val="none" w:sz="0" w:space="0" w:color="auto"/>
            <w:right w:val="none" w:sz="0" w:space="0" w:color="auto"/>
          </w:divBdr>
        </w:div>
        <w:div w:id="493452415">
          <w:marLeft w:val="274"/>
          <w:marRight w:val="0"/>
          <w:marTop w:val="0"/>
          <w:marBottom w:val="0"/>
          <w:divBdr>
            <w:top w:val="none" w:sz="0" w:space="0" w:color="auto"/>
            <w:left w:val="none" w:sz="0" w:space="0" w:color="auto"/>
            <w:bottom w:val="none" w:sz="0" w:space="0" w:color="auto"/>
            <w:right w:val="none" w:sz="0" w:space="0" w:color="auto"/>
          </w:divBdr>
        </w:div>
        <w:div w:id="1055199932">
          <w:marLeft w:val="274"/>
          <w:marRight w:val="0"/>
          <w:marTop w:val="0"/>
          <w:marBottom w:val="0"/>
          <w:divBdr>
            <w:top w:val="none" w:sz="0" w:space="0" w:color="auto"/>
            <w:left w:val="none" w:sz="0" w:space="0" w:color="auto"/>
            <w:bottom w:val="none" w:sz="0" w:space="0" w:color="auto"/>
            <w:right w:val="none" w:sz="0" w:space="0" w:color="auto"/>
          </w:divBdr>
        </w:div>
        <w:div w:id="1192962577">
          <w:marLeft w:val="274"/>
          <w:marRight w:val="0"/>
          <w:marTop w:val="0"/>
          <w:marBottom w:val="0"/>
          <w:divBdr>
            <w:top w:val="none" w:sz="0" w:space="0" w:color="auto"/>
            <w:left w:val="none" w:sz="0" w:space="0" w:color="auto"/>
            <w:bottom w:val="none" w:sz="0" w:space="0" w:color="auto"/>
            <w:right w:val="none" w:sz="0" w:space="0" w:color="auto"/>
          </w:divBdr>
        </w:div>
        <w:div w:id="106706450">
          <w:marLeft w:val="274"/>
          <w:marRight w:val="0"/>
          <w:marTop w:val="0"/>
          <w:marBottom w:val="0"/>
          <w:divBdr>
            <w:top w:val="none" w:sz="0" w:space="0" w:color="auto"/>
            <w:left w:val="none" w:sz="0" w:space="0" w:color="auto"/>
            <w:bottom w:val="none" w:sz="0" w:space="0" w:color="auto"/>
            <w:right w:val="none" w:sz="0" w:space="0" w:color="auto"/>
          </w:divBdr>
        </w:div>
        <w:div w:id="1763986413">
          <w:marLeft w:val="274"/>
          <w:marRight w:val="0"/>
          <w:marTop w:val="0"/>
          <w:marBottom w:val="0"/>
          <w:divBdr>
            <w:top w:val="none" w:sz="0" w:space="0" w:color="auto"/>
            <w:left w:val="none" w:sz="0" w:space="0" w:color="auto"/>
            <w:bottom w:val="none" w:sz="0" w:space="0" w:color="auto"/>
            <w:right w:val="none" w:sz="0" w:space="0" w:color="auto"/>
          </w:divBdr>
        </w:div>
        <w:div w:id="1134104768">
          <w:marLeft w:val="274"/>
          <w:marRight w:val="0"/>
          <w:marTop w:val="0"/>
          <w:marBottom w:val="0"/>
          <w:divBdr>
            <w:top w:val="none" w:sz="0" w:space="0" w:color="auto"/>
            <w:left w:val="none" w:sz="0" w:space="0" w:color="auto"/>
            <w:bottom w:val="none" w:sz="0" w:space="0" w:color="auto"/>
            <w:right w:val="none" w:sz="0" w:space="0" w:color="auto"/>
          </w:divBdr>
        </w:div>
        <w:div w:id="1189489507">
          <w:marLeft w:val="274"/>
          <w:marRight w:val="0"/>
          <w:marTop w:val="0"/>
          <w:marBottom w:val="0"/>
          <w:divBdr>
            <w:top w:val="none" w:sz="0" w:space="0" w:color="auto"/>
            <w:left w:val="none" w:sz="0" w:space="0" w:color="auto"/>
            <w:bottom w:val="none" w:sz="0" w:space="0" w:color="auto"/>
            <w:right w:val="none" w:sz="0" w:space="0" w:color="auto"/>
          </w:divBdr>
        </w:div>
        <w:div w:id="543448740">
          <w:marLeft w:val="274"/>
          <w:marRight w:val="0"/>
          <w:marTop w:val="0"/>
          <w:marBottom w:val="0"/>
          <w:divBdr>
            <w:top w:val="none" w:sz="0" w:space="0" w:color="auto"/>
            <w:left w:val="none" w:sz="0" w:space="0" w:color="auto"/>
            <w:bottom w:val="none" w:sz="0" w:space="0" w:color="auto"/>
            <w:right w:val="none" w:sz="0" w:space="0" w:color="auto"/>
          </w:divBdr>
        </w:div>
        <w:div w:id="1543176909">
          <w:marLeft w:val="274"/>
          <w:marRight w:val="0"/>
          <w:marTop w:val="0"/>
          <w:marBottom w:val="0"/>
          <w:divBdr>
            <w:top w:val="none" w:sz="0" w:space="0" w:color="auto"/>
            <w:left w:val="none" w:sz="0" w:space="0" w:color="auto"/>
            <w:bottom w:val="none" w:sz="0" w:space="0" w:color="auto"/>
            <w:right w:val="none" w:sz="0" w:space="0" w:color="auto"/>
          </w:divBdr>
        </w:div>
        <w:div w:id="800726415">
          <w:marLeft w:val="274"/>
          <w:marRight w:val="0"/>
          <w:marTop w:val="0"/>
          <w:marBottom w:val="0"/>
          <w:divBdr>
            <w:top w:val="none" w:sz="0" w:space="0" w:color="auto"/>
            <w:left w:val="none" w:sz="0" w:space="0" w:color="auto"/>
            <w:bottom w:val="none" w:sz="0" w:space="0" w:color="auto"/>
            <w:right w:val="none" w:sz="0" w:space="0" w:color="auto"/>
          </w:divBdr>
        </w:div>
        <w:div w:id="599727069">
          <w:marLeft w:val="274"/>
          <w:marRight w:val="0"/>
          <w:marTop w:val="0"/>
          <w:marBottom w:val="0"/>
          <w:divBdr>
            <w:top w:val="none" w:sz="0" w:space="0" w:color="auto"/>
            <w:left w:val="none" w:sz="0" w:space="0" w:color="auto"/>
            <w:bottom w:val="none" w:sz="0" w:space="0" w:color="auto"/>
            <w:right w:val="none" w:sz="0" w:space="0" w:color="auto"/>
          </w:divBdr>
        </w:div>
        <w:div w:id="581111091">
          <w:marLeft w:val="274"/>
          <w:marRight w:val="0"/>
          <w:marTop w:val="0"/>
          <w:marBottom w:val="0"/>
          <w:divBdr>
            <w:top w:val="none" w:sz="0" w:space="0" w:color="auto"/>
            <w:left w:val="none" w:sz="0" w:space="0" w:color="auto"/>
            <w:bottom w:val="none" w:sz="0" w:space="0" w:color="auto"/>
            <w:right w:val="none" w:sz="0" w:space="0" w:color="auto"/>
          </w:divBdr>
        </w:div>
        <w:div w:id="1113785028">
          <w:marLeft w:val="274"/>
          <w:marRight w:val="0"/>
          <w:marTop w:val="0"/>
          <w:marBottom w:val="0"/>
          <w:divBdr>
            <w:top w:val="none" w:sz="0" w:space="0" w:color="auto"/>
            <w:left w:val="none" w:sz="0" w:space="0" w:color="auto"/>
            <w:bottom w:val="none" w:sz="0" w:space="0" w:color="auto"/>
            <w:right w:val="none" w:sz="0" w:space="0" w:color="auto"/>
          </w:divBdr>
        </w:div>
        <w:div w:id="1107507583">
          <w:marLeft w:val="274"/>
          <w:marRight w:val="0"/>
          <w:marTop w:val="0"/>
          <w:marBottom w:val="0"/>
          <w:divBdr>
            <w:top w:val="none" w:sz="0" w:space="0" w:color="auto"/>
            <w:left w:val="none" w:sz="0" w:space="0" w:color="auto"/>
            <w:bottom w:val="none" w:sz="0" w:space="0" w:color="auto"/>
            <w:right w:val="none" w:sz="0" w:space="0" w:color="auto"/>
          </w:divBdr>
        </w:div>
        <w:div w:id="1540628684">
          <w:marLeft w:val="274"/>
          <w:marRight w:val="0"/>
          <w:marTop w:val="0"/>
          <w:marBottom w:val="0"/>
          <w:divBdr>
            <w:top w:val="none" w:sz="0" w:space="0" w:color="auto"/>
            <w:left w:val="none" w:sz="0" w:space="0" w:color="auto"/>
            <w:bottom w:val="none" w:sz="0" w:space="0" w:color="auto"/>
            <w:right w:val="none" w:sz="0" w:space="0" w:color="auto"/>
          </w:divBdr>
        </w:div>
        <w:div w:id="958150020">
          <w:marLeft w:val="274"/>
          <w:marRight w:val="0"/>
          <w:marTop w:val="0"/>
          <w:marBottom w:val="0"/>
          <w:divBdr>
            <w:top w:val="none" w:sz="0" w:space="0" w:color="auto"/>
            <w:left w:val="none" w:sz="0" w:space="0" w:color="auto"/>
            <w:bottom w:val="none" w:sz="0" w:space="0" w:color="auto"/>
            <w:right w:val="none" w:sz="0" w:space="0" w:color="auto"/>
          </w:divBdr>
        </w:div>
        <w:div w:id="1585186510">
          <w:marLeft w:val="274"/>
          <w:marRight w:val="0"/>
          <w:marTop w:val="0"/>
          <w:marBottom w:val="0"/>
          <w:divBdr>
            <w:top w:val="none" w:sz="0" w:space="0" w:color="auto"/>
            <w:left w:val="none" w:sz="0" w:space="0" w:color="auto"/>
            <w:bottom w:val="none" w:sz="0" w:space="0" w:color="auto"/>
            <w:right w:val="none" w:sz="0" w:space="0" w:color="auto"/>
          </w:divBdr>
        </w:div>
        <w:div w:id="854811638">
          <w:marLeft w:val="274"/>
          <w:marRight w:val="0"/>
          <w:marTop w:val="0"/>
          <w:marBottom w:val="0"/>
          <w:divBdr>
            <w:top w:val="none" w:sz="0" w:space="0" w:color="auto"/>
            <w:left w:val="none" w:sz="0" w:space="0" w:color="auto"/>
            <w:bottom w:val="none" w:sz="0" w:space="0" w:color="auto"/>
            <w:right w:val="none" w:sz="0" w:space="0" w:color="auto"/>
          </w:divBdr>
        </w:div>
        <w:div w:id="1473408135">
          <w:marLeft w:val="274"/>
          <w:marRight w:val="0"/>
          <w:marTop w:val="0"/>
          <w:marBottom w:val="0"/>
          <w:divBdr>
            <w:top w:val="none" w:sz="0" w:space="0" w:color="auto"/>
            <w:left w:val="none" w:sz="0" w:space="0" w:color="auto"/>
            <w:bottom w:val="none" w:sz="0" w:space="0" w:color="auto"/>
            <w:right w:val="none" w:sz="0" w:space="0" w:color="auto"/>
          </w:divBdr>
        </w:div>
        <w:div w:id="796338814">
          <w:marLeft w:val="274"/>
          <w:marRight w:val="0"/>
          <w:marTop w:val="0"/>
          <w:marBottom w:val="0"/>
          <w:divBdr>
            <w:top w:val="none" w:sz="0" w:space="0" w:color="auto"/>
            <w:left w:val="none" w:sz="0" w:space="0" w:color="auto"/>
            <w:bottom w:val="none" w:sz="0" w:space="0" w:color="auto"/>
            <w:right w:val="none" w:sz="0" w:space="0" w:color="auto"/>
          </w:divBdr>
        </w:div>
        <w:div w:id="1059136560">
          <w:marLeft w:val="274"/>
          <w:marRight w:val="0"/>
          <w:marTop w:val="0"/>
          <w:marBottom w:val="0"/>
          <w:divBdr>
            <w:top w:val="none" w:sz="0" w:space="0" w:color="auto"/>
            <w:left w:val="none" w:sz="0" w:space="0" w:color="auto"/>
            <w:bottom w:val="none" w:sz="0" w:space="0" w:color="auto"/>
            <w:right w:val="none" w:sz="0" w:space="0" w:color="auto"/>
          </w:divBdr>
        </w:div>
        <w:div w:id="1646548547">
          <w:marLeft w:val="274"/>
          <w:marRight w:val="0"/>
          <w:marTop w:val="0"/>
          <w:marBottom w:val="0"/>
          <w:divBdr>
            <w:top w:val="none" w:sz="0" w:space="0" w:color="auto"/>
            <w:left w:val="none" w:sz="0" w:space="0" w:color="auto"/>
            <w:bottom w:val="none" w:sz="0" w:space="0" w:color="auto"/>
            <w:right w:val="none" w:sz="0" w:space="0" w:color="auto"/>
          </w:divBdr>
        </w:div>
        <w:div w:id="1793936667">
          <w:marLeft w:val="274"/>
          <w:marRight w:val="0"/>
          <w:marTop w:val="0"/>
          <w:marBottom w:val="0"/>
          <w:divBdr>
            <w:top w:val="none" w:sz="0" w:space="0" w:color="auto"/>
            <w:left w:val="none" w:sz="0" w:space="0" w:color="auto"/>
            <w:bottom w:val="none" w:sz="0" w:space="0" w:color="auto"/>
            <w:right w:val="none" w:sz="0" w:space="0" w:color="auto"/>
          </w:divBdr>
        </w:div>
        <w:div w:id="1021199792">
          <w:marLeft w:val="274"/>
          <w:marRight w:val="0"/>
          <w:marTop w:val="0"/>
          <w:marBottom w:val="0"/>
          <w:divBdr>
            <w:top w:val="none" w:sz="0" w:space="0" w:color="auto"/>
            <w:left w:val="none" w:sz="0" w:space="0" w:color="auto"/>
            <w:bottom w:val="none" w:sz="0" w:space="0" w:color="auto"/>
            <w:right w:val="none" w:sz="0" w:space="0" w:color="auto"/>
          </w:divBdr>
        </w:div>
        <w:div w:id="1022852551">
          <w:marLeft w:val="274"/>
          <w:marRight w:val="0"/>
          <w:marTop w:val="0"/>
          <w:marBottom w:val="0"/>
          <w:divBdr>
            <w:top w:val="none" w:sz="0" w:space="0" w:color="auto"/>
            <w:left w:val="none" w:sz="0" w:space="0" w:color="auto"/>
            <w:bottom w:val="none" w:sz="0" w:space="0" w:color="auto"/>
            <w:right w:val="none" w:sz="0" w:space="0" w:color="auto"/>
          </w:divBdr>
        </w:div>
        <w:div w:id="1844200750">
          <w:marLeft w:val="274"/>
          <w:marRight w:val="0"/>
          <w:marTop w:val="0"/>
          <w:marBottom w:val="0"/>
          <w:divBdr>
            <w:top w:val="none" w:sz="0" w:space="0" w:color="auto"/>
            <w:left w:val="none" w:sz="0" w:space="0" w:color="auto"/>
            <w:bottom w:val="none" w:sz="0" w:space="0" w:color="auto"/>
            <w:right w:val="none" w:sz="0" w:space="0" w:color="auto"/>
          </w:divBdr>
        </w:div>
        <w:div w:id="2059931202">
          <w:marLeft w:val="274"/>
          <w:marRight w:val="0"/>
          <w:marTop w:val="0"/>
          <w:marBottom w:val="0"/>
          <w:divBdr>
            <w:top w:val="none" w:sz="0" w:space="0" w:color="auto"/>
            <w:left w:val="none" w:sz="0" w:space="0" w:color="auto"/>
            <w:bottom w:val="none" w:sz="0" w:space="0" w:color="auto"/>
            <w:right w:val="none" w:sz="0" w:space="0" w:color="auto"/>
          </w:divBdr>
        </w:div>
        <w:div w:id="428160813">
          <w:marLeft w:val="274"/>
          <w:marRight w:val="0"/>
          <w:marTop w:val="0"/>
          <w:marBottom w:val="0"/>
          <w:divBdr>
            <w:top w:val="none" w:sz="0" w:space="0" w:color="auto"/>
            <w:left w:val="none" w:sz="0" w:space="0" w:color="auto"/>
            <w:bottom w:val="none" w:sz="0" w:space="0" w:color="auto"/>
            <w:right w:val="none" w:sz="0" w:space="0" w:color="auto"/>
          </w:divBdr>
        </w:div>
        <w:div w:id="1469592122">
          <w:marLeft w:val="274"/>
          <w:marRight w:val="0"/>
          <w:marTop w:val="0"/>
          <w:marBottom w:val="0"/>
          <w:divBdr>
            <w:top w:val="none" w:sz="0" w:space="0" w:color="auto"/>
            <w:left w:val="none" w:sz="0" w:space="0" w:color="auto"/>
            <w:bottom w:val="none" w:sz="0" w:space="0" w:color="auto"/>
            <w:right w:val="none" w:sz="0" w:space="0" w:color="auto"/>
          </w:divBdr>
        </w:div>
        <w:div w:id="1087269091">
          <w:marLeft w:val="274"/>
          <w:marRight w:val="0"/>
          <w:marTop w:val="0"/>
          <w:marBottom w:val="0"/>
          <w:divBdr>
            <w:top w:val="none" w:sz="0" w:space="0" w:color="auto"/>
            <w:left w:val="none" w:sz="0" w:space="0" w:color="auto"/>
            <w:bottom w:val="none" w:sz="0" w:space="0" w:color="auto"/>
            <w:right w:val="none" w:sz="0" w:space="0" w:color="auto"/>
          </w:divBdr>
        </w:div>
        <w:div w:id="2094085527">
          <w:marLeft w:val="274"/>
          <w:marRight w:val="0"/>
          <w:marTop w:val="0"/>
          <w:marBottom w:val="0"/>
          <w:divBdr>
            <w:top w:val="none" w:sz="0" w:space="0" w:color="auto"/>
            <w:left w:val="none" w:sz="0" w:space="0" w:color="auto"/>
            <w:bottom w:val="none" w:sz="0" w:space="0" w:color="auto"/>
            <w:right w:val="none" w:sz="0" w:space="0" w:color="auto"/>
          </w:divBdr>
        </w:div>
        <w:div w:id="1856189130">
          <w:marLeft w:val="274"/>
          <w:marRight w:val="0"/>
          <w:marTop w:val="0"/>
          <w:marBottom w:val="0"/>
          <w:divBdr>
            <w:top w:val="none" w:sz="0" w:space="0" w:color="auto"/>
            <w:left w:val="none" w:sz="0" w:space="0" w:color="auto"/>
            <w:bottom w:val="none" w:sz="0" w:space="0" w:color="auto"/>
            <w:right w:val="none" w:sz="0" w:space="0" w:color="auto"/>
          </w:divBdr>
        </w:div>
        <w:div w:id="436025483">
          <w:marLeft w:val="274"/>
          <w:marRight w:val="0"/>
          <w:marTop w:val="0"/>
          <w:marBottom w:val="0"/>
          <w:divBdr>
            <w:top w:val="none" w:sz="0" w:space="0" w:color="auto"/>
            <w:left w:val="none" w:sz="0" w:space="0" w:color="auto"/>
            <w:bottom w:val="none" w:sz="0" w:space="0" w:color="auto"/>
            <w:right w:val="none" w:sz="0" w:space="0" w:color="auto"/>
          </w:divBdr>
        </w:div>
        <w:div w:id="1823740268">
          <w:marLeft w:val="274"/>
          <w:marRight w:val="0"/>
          <w:marTop w:val="0"/>
          <w:marBottom w:val="0"/>
          <w:divBdr>
            <w:top w:val="none" w:sz="0" w:space="0" w:color="auto"/>
            <w:left w:val="none" w:sz="0" w:space="0" w:color="auto"/>
            <w:bottom w:val="none" w:sz="0" w:space="0" w:color="auto"/>
            <w:right w:val="none" w:sz="0" w:space="0" w:color="auto"/>
          </w:divBdr>
        </w:div>
        <w:div w:id="307706447">
          <w:marLeft w:val="274"/>
          <w:marRight w:val="0"/>
          <w:marTop w:val="0"/>
          <w:marBottom w:val="0"/>
          <w:divBdr>
            <w:top w:val="none" w:sz="0" w:space="0" w:color="auto"/>
            <w:left w:val="none" w:sz="0" w:space="0" w:color="auto"/>
            <w:bottom w:val="none" w:sz="0" w:space="0" w:color="auto"/>
            <w:right w:val="none" w:sz="0" w:space="0" w:color="auto"/>
          </w:divBdr>
        </w:div>
        <w:div w:id="1876384004">
          <w:marLeft w:val="274"/>
          <w:marRight w:val="0"/>
          <w:marTop w:val="0"/>
          <w:marBottom w:val="0"/>
          <w:divBdr>
            <w:top w:val="none" w:sz="0" w:space="0" w:color="auto"/>
            <w:left w:val="none" w:sz="0" w:space="0" w:color="auto"/>
            <w:bottom w:val="none" w:sz="0" w:space="0" w:color="auto"/>
            <w:right w:val="none" w:sz="0" w:space="0" w:color="auto"/>
          </w:divBdr>
        </w:div>
        <w:div w:id="1475609913">
          <w:marLeft w:val="274"/>
          <w:marRight w:val="0"/>
          <w:marTop w:val="0"/>
          <w:marBottom w:val="0"/>
          <w:divBdr>
            <w:top w:val="none" w:sz="0" w:space="0" w:color="auto"/>
            <w:left w:val="none" w:sz="0" w:space="0" w:color="auto"/>
            <w:bottom w:val="none" w:sz="0" w:space="0" w:color="auto"/>
            <w:right w:val="none" w:sz="0" w:space="0" w:color="auto"/>
          </w:divBdr>
        </w:div>
        <w:div w:id="1506749082">
          <w:marLeft w:val="274"/>
          <w:marRight w:val="0"/>
          <w:marTop w:val="0"/>
          <w:marBottom w:val="0"/>
          <w:divBdr>
            <w:top w:val="none" w:sz="0" w:space="0" w:color="auto"/>
            <w:left w:val="none" w:sz="0" w:space="0" w:color="auto"/>
            <w:bottom w:val="none" w:sz="0" w:space="0" w:color="auto"/>
            <w:right w:val="none" w:sz="0" w:space="0" w:color="auto"/>
          </w:divBdr>
        </w:div>
        <w:div w:id="352538897">
          <w:marLeft w:val="274"/>
          <w:marRight w:val="0"/>
          <w:marTop w:val="0"/>
          <w:marBottom w:val="0"/>
          <w:divBdr>
            <w:top w:val="none" w:sz="0" w:space="0" w:color="auto"/>
            <w:left w:val="none" w:sz="0" w:space="0" w:color="auto"/>
            <w:bottom w:val="none" w:sz="0" w:space="0" w:color="auto"/>
            <w:right w:val="none" w:sz="0" w:space="0" w:color="auto"/>
          </w:divBdr>
        </w:div>
        <w:div w:id="784428178">
          <w:marLeft w:val="274"/>
          <w:marRight w:val="0"/>
          <w:marTop w:val="0"/>
          <w:marBottom w:val="0"/>
          <w:divBdr>
            <w:top w:val="none" w:sz="0" w:space="0" w:color="auto"/>
            <w:left w:val="none" w:sz="0" w:space="0" w:color="auto"/>
            <w:bottom w:val="none" w:sz="0" w:space="0" w:color="auto"/>
            <w:right w:val="none" w:sz="0" w:space="0" w:color="auto"/>
          </w:divBdr>
        </w:div>
        <w:div w:id="317072918">
          <w:marLeft w:val="274"/>
          <w:marRight w:val="0"/>
          <w:marTop w:val="0"/>
          <w:marBottom w:val="0"/>
          <w:divBdr>
            <w:top w:val="none" w:sz="0" w:space="0" w:color="auto"/>
            <w:left w:val="none" w:sz="0" w:space="0" w:color="auto"/>
            <w:bottom w:val="none" w:sz="0" w:space="0" w:color="auto"/>
            <w:right w:val="none" w:sz="0" w:space="0" w:color="auto"/>
          </w:divBdr>
        </w:div>
        <w:div w:id="609582748">
          <w:marLeft w:val="274"/>
          <w:marRight w:val="0"/>
          <w:marTop w:val="0"/>
          <w:marBottom w:val="0"/>
          <w:divBdr>
            <w:top w:val="none" w:sz="0" w:space="0" w:color="auto"/>
            <w:left w:val="none" w:sz="0" w:space="0" w:color="auto"/>
            <w:bottom w:val="none" w:sz="0" w:space="0" w:color="auto"/>
            <w:right w:val="none" w:sz="0" w:space="0" w:color="auto"/>
          </w:divBdr>
        </w:div>
        <w:div w:id="1348478981">
          <w:marLeft w:val="274"/>
          <w:marRight w:val="0"/>
          <w:marTop w:val="0"/>
          <w:marBottom w:val="0"/>
          <w:divBdr>
            <w:top w:val="none" w:sz="0" w:space="0" w:color="auto"/>
            <w:left w:val="none" w:sz="0" w:space="0" w:color="auto"/>
            <w:bottom w:val="none" w:sz="0" w:space="0" w:color="auto"/>
            <w:right w:val="none" w:sz="0" w:space="0" w:color="auto"/>
          </w:divBdr>
        </w:div>
        <w:div w:id="1207526203">
          <w:marLeft w:val="274"/>
          <w:marRight w:val="0"/>
          <w:marTop w:val="0"/>
          <w:marBottom w:val="0"/>
          <w:divBdr>
            <w:top w:val="none" w:sz="0" w:space="0" w:color="auto"/>
            <w:left w:val="none" w:sz="0" w:space="0" w:color="auto"/>
            <w:bottom w:val="none" w:sz="0" w:space="0" w:color="auto"/>
            <w:right w:val="none" w:sz="0" w:space="0" w:color="auto"/>
          </w:divBdr>
        </w:div>
        <w:div w:id="2032340356">
          <w:marLeft w:val="274"/>
          <w:marRight w:val="0"/>
          <w:marTop w:val="0"/>
          <w:marBottom w:val="0"/>
          <w:divBdr>
            <w:top w:val="none" w:sz="0" w:space="0" w:color="auto"/>
            <w:left w:val="none" w:sz="0" w:space="0" w:color="auto"/>
            <w:bottom w:val="none" w:sz="0" w:space="0" w:color="auto"/>
            <w:right w:val="none" w:sz="0" w:space="0" w:color="auto"/>
          </w:divBdr>
        </w:div>
      </w:divsChild>
    </w:div>
    <w:div w:id="1291324116">
      <w:bodyDiv w:val="1"/>
      <w:marLeft w:val="0"/>
      <w:marRight w:val="0"/>
      <w:marTop w:val="0"/>
      <w:marBottom w:val="0"/>
      <w:divBdr>
        <w:top w:val="none" w:sz="0" w:space="0" w:color="auto"/>
        <w:left w:val="none" w:sz="0" w:space="0" w:color="auto"/>
        <w:bottom w:val="none" w:sz="0" w:space="0" w:color="auto"/>
        <w:right w:val="none" w:sz="0" w:space="0" w:color="auto"/>
      </w:divBdr>
    </w:div>
    <w:div w:id="1301574633">
      <w:bodyDiv w:val="1"/>
      <w:marLeft w:val="0"/>
      <w:marRight w:val="0"/>
      <w:marTop w:val="0"/>
      <w:marBottom w:val="0"/>
      <w:divBdr>
        <w:top w:val="none" w:sz="0" w:space="0" w:color="auto"/>
        <w:left w:val="none" w:sz="0" w:space="0" w:color="auto"/>
        <w:bottom w:val="none" w:sz="0" w:space="0" w:color="auto"/>
        <w:right w:val="none" w:sz="0" w:space="0" w:color="auto"/>
      </w:divBdr>
    </w:div>
    <w:div w:id="1465347883">
      <w:bodyDiv w:val="1"/>
      <w:marLeft w:val="0"/>
      <w:marRight w:val="0"/>
      <w:marTop w:val="0"/>
      <w:marBottom w:val="0"/>
      <w:divBdr>
        <w:top w:val="none" w:sz="0" w:space="0" w:color="auto"/>
        <w:left w:val="none" w:sz="0" w:space="0" w:color="auto"/>
        <w:bottom w:val="none" w:sz="0" w:space="0" w:color="auto"/>
        <w:right w:val="none" w:sz="0" w:space="0" w:color="auto"/>
      </w:divBdr>
      <w:divsChild>
        <w:div w:id="1163087423">
          <w:marLeft w:val="187"/>
          <w:marRight w:val="0"/>
          <w:marTop w:val="20"/>
          <w:marBottom w:val="20"/>
          <w:divBdr>
            <w:top w:val="none" w:sz="0" w:space="0" w:color="auto"/>
            <w:left w:val="none" w:sz="0" w:space="0" w:color="auto"/>
            <w:bottom w:val="none" w:sz="0" w:space="0" w:color="auto"/>
            <w:right w:val="none" w:sz="0" w:space="0" w:color="auto"/>
          </w:divBdr>
        </w:div>
      </w:divsChild>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55529810">
      <w:bodyDiv w:val="1"/>
      <w:marLeft w:val="0"/>
      <w:marRight w:val="0"/>
      <w:marTop w:val="0"/>
      <w:marBottom w:val="0"/>
      <w:divBdr>
        <w:top w:val="none" w:sz="0" w:space="0" w:color="auto"/>
        <w:left w:val="none" w:sz="0" w:space="0" w:color="auto"/>
        <w:bottom w:val="none" w:sz="0" w:space="0" w:color="auto"/>
        <w:right w:val="none" w:sz="0" w:space="0" w:color="auto"/>
      </w:divBdr>
    </w:div>
    <w:div w:id="1678656698">
      <w:bodyDiv w:val="1"/>
      <w:marLeft w:val="0"/>
      <w:marRight w:val="0"/>
      <w:marTop w:val="0"/>
      <w:marBottom w:val="0"/>
      <w:divBdr>
        <w:top w:val="none" w:sz="0" w:space="0" w:color="auto"/>
        <w:left w:val="none" w:sz="0" w:space="0" w:color="auto"/>
        <w:bottom w:val="none" w:sz="0" w:space="0" w:color="auto"/>
        <w:right w:val="none" w:sz="0" w:space="0" w:color="auto"/>
      </w:divBdr>
    </w:div>
    <w:div w:id="1708137670">
      <w:bodyDiv w:val="1"/>
      <w:marLeft w:val="0"/>
      <w:marRight w:val="0"/>
      <w:marTop w:val="0"/>
      <w:marBottom w:val="0"/>
      <w:divBdr>
        <w:top w:val="none" w:sz="0" w:space="0" w:color="auto"/>
        <w:left w:val="none" w:sz="0" w:space="0" w:color="auto"/>
        <w:bottom w:val="none" w:sz="0" w:space="0" w:color="auto"/>
        <w:right w:val="none" w:sz="0" w:space="0" w:color="auto"/>
      </w:divBdr>
    </w:div>
    <w:div w:id="1796024567">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1553981">
      <w:bodyDiv w:val="1"/>
      <w:marLeft w:val="0"/>
      <w:marRight w:val="0"/>
      <w:marTop w:val="0"/>
      <w:marBottom w:val="0"/>
      <w:divBdr>
        <w:top w:val="none" w:sz="0" w:space="0" w:color="auto"/>
        <w:left w:val="none" w:sz="0" w:space="0" w:color="auto"/>
        <w:bottom w:val="none" w:sz="0" w:space="0" w:color="auto"/>
        <w:right w:val="none" w:sz="0" w:space="0" w:color="auto"/>
      </w:divBdr>
      <w:divsChild>
        <w:div w:id="118886668">
          <w:marLeft w:val="274"/>
          <w:marRight w:val="0"/>
          <w:marTop w:val="0"/>
          <w:marBottom w:val="0"/>
          <w:divBdr>
            <w:top w:val="none" w:sz="0" w:space="0" w:color="auto"/>
            <w:left w:val="none" w:sz="0" w:space="0" w:color="auto"/>
            <w:bottom w:val="none" w:sz="0" w:space="0" w:color="auto"/>
            <w:right w:val="none" w:sz="0" w:space="0" w:color="auto"/>
          </w:divBdr>
        </w:div>
        <w:div w:id="394858823">
          <w:marLeft w:val="274"/>
          <w:marRight w:val="0"/>
          <w:marTop w:val="0"/>
          <w:marBottom w:val="0"/>
          <w:divBdr>
            <w:top w:val="none" w:sz="0" w:space="0" w:color="auto"/>
            <w:left w:val="none" w:sz="0" w:space="0" w:color="auto"/>
            <w:bottom w:val="none" w:sz="0" w:space="0" w:color="auto"/>
            <w:right w:val="none" w:sz="0" w:space="0" w:color="auto"/>
          </w:divBdr>
        </w:div>
        <w:div w:id="930429190">
          <w:marLeft w:val="274"/>
          <w:marRight w:val="0"/>
          <w:marTop w:val="0"/>
          <w:marBottom w:val="0"/>
          <w:divBdr>
            <w:top w:val="none" w:sz="0" w:space="0" w:color="auto"/>
            <w:left w:val="none" w:sz="0" w:space="0" w:color="auto"/>
            <w:bottom w:val="none" w:sz="0" w:space="0" w:color="auto"/>
            <w:right w:val="none" w:sz="0" w:space="0" w:color="auto"/>
          </w:divBdr>
        </w:div>
        <w:div w:id="1515415584">
          <w:marLeft w:val="274"/>
          <w:marRight w:val="0"/>
          <w:marTop w:val="0"/>
          <w:marBottom w:val="0"/>
          <w:divBdr>
            <w:top w:val="none" w:sz="0" w:space="0" w:color="auto"/>
            <w:left w:val="none" w:sz="0" w:space="0" w:color="auto"/>
            <w:bottom w:val="none" w:sz="0" w:space="0" w:color="auto"/>
            <w:right w:val="none" w:sz="0" w:space="0" w:color="auto"/>
          </w:divBdr>
        </w:div>
        <w:div w:id="1171532880">
          <w:marLeft w:val="274"/>
          <w:marRight w:val="0"/>
          <w:marTop w:val="0"/>
          <w:marBottom w:val="0"/>
          <w:divBdr>
            <w:top w:val="none" w:sz="0" w:space="0" w:color="auto"/>
            <w:left w:val="none" w:sz="0" w:space="0" w:color="auto"/>
            <w:bottom w:val="none" w:sz="0" w:space="0" w:color="auto"/>
            <w:right w:val="none" w:sz="0" w:space="0" w:color="auto"/>
          </w:divBdr>
        </w:div>
        <w:div w:id="1931967097">
          <w:marLeft w:val="274"/>
          <w:marRight w:val="0"/>
          <w:marTop w:val="0"/>
          <w:marBottom w:val="0"/>
          <w:divBdr>
            <w:top w:val="none" w:sz="0" w:space="0" w:color="auto"/>
            <w:left w:val="none" w:sz="0" w:space="0" w:color="auto"/>
            <w:bottom w:val="none" w:sz="0" w:space="0" w:color="auto"/>
            <w:right w:val="none" w:sz="0" w:space="0" w:color="auto"/>
          </w:divBdr>
        </w:div>
        <w:div w:id="1127310932">
          <w:marLeft w:val="274"/>
          <w:marRight w:val="0"/>
          <w:marTop w:val="0"/>
          <w:marBottom w:val="0"/>
          <w:divBdr>
            <w:top w:val="none" w:sz="0" w:space="0" w:color="auto"/>
            <w:left w:val="none" w:sz="0" w:space="0" w:color="auto"/>
            <w:bottom w:val="none" w:sz="0" w:space="0" w:color="auto"/>
            <w:right w:val="none" w:sz="0" w:space="0" w:color="auto"/>
          </w:divBdr>
        </w:div>
        <w:div w:id="1581132492">
          <w:marLeft w:val="274"/>
          <w:marRight w:val="0"/>
          <w:marTop w:val="0"/>
          <w:marBottom w:val="0"/>
          <w:divBdr>
            <w:top w:val="none" w:sz="0" w:space="0" w:color="auto"/>
            <w:left w:val="none" w:sz="0" w:space="0" w:color="auto"/>
            <w:bottom w:val="none" w:sz="0" w:space="0" w:color="auto"/>
            <w:right w:val="none" w:sz="0" w:space="0" w:color="auto"/>
          </w:divBdr>
        </w:div>
        <w:div w:id="916596649">
          <w:marLeft w:val="274"/>
          <w:marRight w:val="0"/>
          <w:marTop w:val="0"/>
          <w:marBottom w:val="0"/>
          <w:divBdr>
            <w:top w:val="none" w:sz="0" w:space="0" w:color="auto"/>
            <w:left w:val="none" w:sz="0" w:space="0" w:color="auto"/>
            <w:bottom w:val="none" w:sz="0" w:space="0" w:color="auto"/>
            <w:right w:val="none" w:sz="0" w:space="0" w:color="auto"/>
          </w:divBdr>
        </w:div>
        <w:div w:id="1192380227">
          <w:marLeft w:val="274"/>
          <w:marRight w:val="0"/>
          <w:marTop w:val="0"/>
          <w:marBottom w:val="0"/>
          <w:divBdr>
            <w:top w:val="none" w:sz="0" w:space="0" w:color="auto"/>
            <w:left w:val="none" w:sz="0" w:space="0" w:color="auto"/>
            <w:bottom w:val="none" w:sz="0" w:space="0" w:color="auto"/>
            <w:right w:val="none" w:sz="0" w:space="0" w:color="auto"/>
          </w:divBdr>
        </w:div>
        <w:div w:id="201216397">
          <w:marLeft w:val="274"/>
          <w:marRight w:val="0"/>
          <w:marTop w:val="0"/>
          <w:marBottom w:val="0"/>
          <w:divBdr>
            <w:top w:val="none" w:sz="0" w:space="0" w:color="auto"/>
            <w:left w:val="none" w:sz="0" w:space="0" w:color="auto"/>
            <w:bottom w:val="none" w:sz="0" w:space="0" w:color="auto"/>
            <w:right w:val="none" w:sz="0" w:space="0" w:color="auto"/>
          </w:divBdr>
        </w:div>
        <w:div w:id="1419523328">
          <w:marLeft w:val="274"/>
          <w:marRight w:val="0"/>
          <w:marTop w:val="0"/>
          <w:marBottom w:val="0"/>
          <w:divBdr>
            <w:top w:val="none" w:sz="0" w:space="0" w:color="auto"/>
            <w:left w:val="none" w:sz="0" w:space="0" w:color="auto"/>
            <w:bottom w:val="none" w:sz="0" w:space="0" w:color="auto"/>
            <w:right w:val="none" w:sz="0" w:space="0" w:color="auto"/>
          </w:divBdr>
        </w:div>
        <w:div w:id="1318413875">
          <w:marLeft w:val="274"/>
          <w:marRight w:val="0"/>
          <w:marTop w:val="0"/>
          <w:marBottom w:val="0"/>
          <w:divBdr>
            <w:top w:val="none" w:sz="0" w:space="0" w:color="auto"/>
            <w:left w:val="none" w:sz="0" w:space="0" w:color="auto"/>
            <w:bottom w:val="none" w:sz="0" w:space="0" w:color="auto"/>
            <w:right w:val="none" w:sz="0" w:space="0" w:color="auto"/>
          </w:divBdr>
        </w:div>
        <w:div w:id="1835878194">
          <w:marLeft w:val="274"/>
          <w:marRight w:val="0"/>
          <w:marTop w:val="0"/>
          <w:marBottom w:val="0"/>
          <w:divBdr>
            <w:top w:val="none" w:sz="0" w:space="0" w:color="auto"/>
            <w:left w:val="none" w:sz="0" w:space="0" w:color="auto"/>
            <w:bottom w:val="none" w:sz="0" w:space="0" w:color="auto"/>
            <w:right w:val="none" w:sz="0" w:space="0" w:color="auto"/>
          </w:divBdr>
        </w:div>
        <w:div w:id="462504750">
          <w:marLeft w:val="274"/>
          <w:marRight w:val="0"/>
          <w:marTop w:val="0"/>
          <w:marBottom w:val="0"/>
          <w:divBdr>
            <w:top w:val="none" w:sz="0" w:space="0" w:color="auto"/>
            <w:left w:val="none" w:sz="0" w:space="0" w:color="auto"/>
            <w:bottom w:val="none" w:sz="0" w:space="0" w:color="auto"/>
            <w:right w:val="none" w:sz="0" w:space="0" w:color="auto"/>
          </w:divBdr>
        </w:div>
        <w:div w:id="2115785535">
          <w:marLeft w:val="274"/>
          <w:marRight w:val="0"/>
          <w:marTop w:val="0"/>
          <w:marBottom w:val="0"/>
          <w:divBdr>
            <w:top w:val="none" w:sz="0" w:space="0" w:color="auto"/>
            <w:left w:val="none" w:sz="0" w:space="0" w:color="auto"/>
            <w:bottom w:val="none" w:sz="0" w:space="0" w:color="auto"/>
            <w:right w:val="none" w:sz="0" w:space="0" w:color="auto"/>
          </w:divBdr>
        </w:div>
        <w:div w:id="549918967">
          <w:marLeft w:val="274"/>
          <w:marRight w:val="0"/>
          <w:marTop w:val="0"/>
          <w:marBottom w:val="0"/>
          <w:divBdr>
            <w:top w:val="none" w:sz="0" w:space="0" w:color="auto"/>
            <w:left w:val="none" w:sz="0" w:space="0" w:color="auto"/>
            <w:bottom w:val="none" w:sz="0" w:space="0" w:color="auto"/>
            <w:right w:val="none" w:sz="0" w:space="0" w:color="auto"/>
          </w:divBdr>
        </w:div>
        <w:div w:id="1452824107">
          <w:marLeft w:val="274"/>
          <w:marRight w:val="0"/>
          <w:marTop w:val="0"/>
          <w:marBottom w:val="0"/>
          <w:divBdr>
            <w:top w:val="none" w:sz="0" w:space="0" w:color="auto"/>
            <w:left w:val="none" w:sz="0" w:space="0" w:color="auto"/>
            <w:bottom w:val="none" w:sz="0" w:space="0" w:color="auto"/>
            <w:right w:val="none" w:sz="0" w:space="0" w:color="auto"/>
          </w:divBdr>
        </w:div>
        <w:div w:id="335814823">
          <w:marLeft w:val="274"/>
          <w:marRight w:val="0"/>
          <w:marTop w:val="0"/>
          <w:marBottom w:val="0"/>
          <w:divBdr>
            <w:top w:val="none" w:sz="0" w:space="0" w:color="auto"/>
            <w:left w:val="none" w:sz="0" w:space="0" w:color="auto"/>
            <w:bottom w:val="none" w:sz="0" w:space="0" w:color="auto"/>
            <w:right w:val="none" w:sz="0" w:space="0" w:color="auto"/>
          </w:divBdr>
        </w:div>
        <w:div w:id="1541551093">
          <w:marLeft w:val="274"/>
          <w:marRight w:val="0"/>
          <w:marTop w:val="0"/>
          <w:marBottom w:val="0"/>
          <w:divBdr>
            <w:top w:val="none" w:sz="0" w:space="0" w:color="auto"/>
            <w:left w:val="none" w:sz="0" w:space="0" w:color="auto"/>
            <w:bottom w:val="none" w:sz="0" w:space="0" w:color="auto"/>
            <w:right w:val="none" w:sz="0" w:space="0" w:color="auto"/>
          </w:divBdr>
        </w:div>
        <w:div w:id="1649044804">
          <w:marLeft w:val="274"/>
          <w:marRight w:val="0"/>
          <w:marTop w:val="0"/>
          <w:marBottom w:val="0"/>
          <w:divBdr>
            <w:top w:val="none" w:sz="0" w:space="0" w:color="auto"/>
            <w:left w:val="none" w:sz="0" w:space="0" w:color="auto"/>
            <w:bottom w:val="none" w:sz="0" w:space="0" w:color="auto"/>
            <w:right w:val="none" w:sz="0" w:space="0" w:color="auto"/>
          </w:divBdr>
        </w:div>
        <w:div w:id="1857619102">
          <w:marLeft w:val="274"/>
          <w:marRight w:val="0"/>
          <w:marTop w:val="0"/>
          <w:marBottom w:val="0"/>
          <w:divBdr>
            <w:top w:val="none" w:sz="0" w:space="0" w:color="auto"/>
            <w:left w:val="none" w:sz="0" w:space="0" w:color="auto"/>
            <w:bottom w:val="none" w:sz="0" w:space="0" w:color="auto"/>
            <w:right w:val="none" w:sz="0" w:space="0" w:color="auto"/>
          </w:divBdr>
        </w:div>
        <w:div w:id="1837531083">
          <w:marLeft w:val="274"/>
          <w:marRight w:val="0"/>
          <w:marTop w:val="0"/>
          <w:marBottom w:val="0"/>
          <w:divBdr>
            <w:top w:val="none" w:sz="0" w:space="0" w:color="auto"/>
            <w:left w:val="none" w:sz="0" w:space="0" w:color="auto"/>
            <w:bottom w:val="none" w:sz="0" w:space="0" w:color="auto"/>
            <w:right w:val="none" w:sz="0" w:space="0" w:color="auto"/>
          </w:divBdr>
        </w:div>
        <w:div w:id="1490056107">
          <w:marLeft w:val="274"/>
          <w:marRight w:val="0"/>
          <w:marTop w:val="0"/>
          <w:marBottom w:val="0"/>
          <w:divBdr>
            <w:top w:val="none" w:sz="0" w:space="0" w:color="auto"/>
            <w:left w:val="none" w:sz="0" w:space="0" w:color="auto"/>
            <w:bottom w:val="none" w:sz="0" w:space="0" w:color="auto"/>
            <w:right w:val="none" w:sz="0" w:space="0" w:color="auto"/>
          </w:divBdr>
        </w:div>
        <w:div w:id="2105178337">
          <w:marLeft w:val="274"/>
          <w:marRight w:val="0"/>
          <w:marTop w:val="0"/>
          <w:marBottom w:val="0"/>
          <w:divBdr>
            <w:top w:val="none" w:sz="0" w:space="0" w:color="auto"/>
            <w:left w:val="none" w:sz="0" w:space="0" w:color="auto"/>
            <w:bottom w:val="none" w:sz="0" w:space="0" w:color="auto"/>
            <w:right w:val="none" w:sz="0" w:space="0" w:color="auto"/>
          </w:divBdr>
        </w:div>
        <w:div w:id="1299188290">
          <w:marLeft w:val="274"/>
          <w:marRight w:val="0"/>
          <w:marTop w:val="0"/>
          <w:marBottom w:val="0"/>
          <w:divBdr>
            <w:top w:val="none" w:sz="0" w:space="0" w:color="auto"/>
            <w:left w:val="none" w:sz="0" w:space="0" w:color="auto"/>
            <w:bottom w:val="none" w:sz="0" w:space="0" w:color="auto"/>
            <w:right w:val="none" w:sz="0" w:space="0" w:color="auto"/>
          </w:divBdr>
        </w:div>
        <w:div w:id="1218316832">
          <w:marLeft w:val="274"/>
          <w:marRight w:val="0"/>
          <w:marTop w:val="0"/>
          <w:marBottom w:val="0"/>
          <w:divBdr>
            <w:top w:val="none" w:sz="0" w:space="0" w:color="auto"/>
            <w:left w:val="none" w:sz="0" w:space="0" w:color="auto"/>
            <w:bottom w:val="none" w:sz="0" w:space="0" w:color="auto"/>
            <w:right w:val="none" w:sz="0" w:space="0" w:color="auto"/>
          </w:divBdr>
        </w:div>
        <w:div w:id="1943801352">
          <w:marLeft w:val="274"/>
          <w:marRight w:val="0"/>
          <w:marTop w:val="0"/>
          <w:marBottom w:val="0"/>
          <w:divBdr>
            <w:top w:val="none" w:sz="0" w:space="0" w:color="auto"/>
            <w:left w:val="none" w:sz="0" w:space="0" w:color="auto"/>
            <w:bottom w:val="none" w:sz="0" w:space="0" w:color="auto"/>
            <w:right w:val="none" w:sz="0" w:space="0" w:color="auto"/>
          </w:divBdr>
        </w:div>
        <w:div w:id="725881493">
          <w:marLeft w:val="274"/>
          <w:marRight w:val="0"/>
          <w:marTop w:val="0"/>
          <w:marBottom w:val="0"/>
          <w:divBdr>
            <w:top w:val="none" w:sz="0" w:space="0" w:color="auto"/>
            <w:left w:val="none" w:sz="0" w:space="0" w:color="auto"/>
            <w:bottom w:val="none" w:sz="0" w:space="0" w:color="auto"/>
            <w:right w:val="none" w:sz="0" w:space="0" w:color="auto"/>
          </w:divBdr>
        </w:div>
        <w:div w:id="1272739738">
          <w:marLeft w:val="274"/>
          <w:marRight w:val="0"/>
          <w:marTop w:val="0"/>
          <w:marBottom w:val="0"/>
          <w:divBdr>
            <w:top w:val="none" w:sz="0" w:space="0" w:color="auto"/>
            <w:left w:val="none" w:sz="0" w:space="0" w:color="auto"/>
            <w:bottom w:val="none" w:sz="0" w:space="0" w:color="auto"/>
            <w:right w:val="none" w:sz="0" w:space="0" w:color="auto"/>
          </w:divBdr>
        </w:div>
        <w:div w:id="1397901459">
          <w:marLeft w:val="274"/>
          <w:marRight w:val="0"/>
          <w:marTop w:val="0"/>
          <w:marBottom w:val="0"/>
          <w:divBdr>
            <w:top w:val="none" w:sz="0" w:space="0" w:color="auto"/>
            <w:left w:val="none" w:sz="0" w:space="0" w:color="auto"/>
            <w:bottom w:val="none" w:sz="0" w:space="0" w:color="auto"/>
            <w:right w:val="none" w:sz="0" w:space="0" w:color="auto"/>
          </w:divBdr>
        </w:div>
        <w:div w:id="1785618030">
          <w:marLeft w:val="274"/>
          <w:marRight w:val="0"/>
          <w:marTop w:val="0"/>
          <w:marBottom w:val="0"/>
          <w:divBdr>
            <w:top w:val="none" w:sz="0" w:space="0" w:color="auto"/>
            <w:left w:val="none" w:sz="0" w:space="0" w:color="auto"/>
            <w:bottom w:val="none" w:sz="0" w:space="0" w:color="auto"/>
            <w:right w:val="none" w:sz="0" w:space="0" w:color="auto"/>
          </w:divBdr>
        </w:div>
        <w:div w:id="12542180">
          <w:marLeft w:val="274"/>
          <w:marRight w:val="0"/>
          <w:marTop w:val="0"/>
          <w:marBottom w:val="0"/>
          <w:divBdr>
            <w:top w:val="none" w:sz="0" w:space="0" w:color="auto"/>
            <w:left w:val="none" w:sz="0" w:space="0" w:color="auto"/>
            <w:bottom w:val="none" w:sz="0" w:space="0" w:color="auto"/>
            <w:right w:val="none" w:sz="0" w:space="0" w:color="auto"/>
          </w:divBdr>
        </w:div>
        <w:div w:id="141042963">
          <w:marLeft w:val="274"/>
          <w:marRight w:val="0"/>
          <w:marTop w:val="0"/>
          <w:marBottom w:val="0"/>
          <w:divBdr>
            <w:top w:val="none" w:sz="0" w:space="0" w:color="auto"/>
            <w:left w:val="none" w:sz="0" w:space="0" w:color="auto"/>
            <w:bottom w:val="none" w:sz="0" w:space="0" w:color="auto"/>
            <w:right w:val="none" w:sz="0" w:space="0" w:color="auto"/>
          </w:divBdr>
        </w:div>
        <w:div w:id="1638144394">
          <w:marLeft w:val="274"/>
          <w:marRight w:val="0"/>
          <w:marTop w:val="0"/>
          <w:marBottom w:val="0"/>
          <w:divBdr>
            <w:top w:val="none" w:sz="0" w:space="0" w:color="auto"/>
            <w:left w:val="none" w:sz="0" w:space="0" w:color="auto"/>
            <w:bottom w:val="none" w:sz="0" w:space="0" w:color="auto"/>
            <w:right w:val="none" w:sz="0" w:space="0" w:color="auto"/>
          </w:divBdr>
        </w:div>
        <w:div w:id="1387756928">
          <w:marLeft w:val="274"/>
          <w:marRight w:val="0"/>
          <w:marTop w:val="0"/>
          <w:marBottom w:val="0"/>
          <w:divBdr>
            <w:top w:val="none" w:sz="0" w:space="0" w:color="auto"/>
            <w:left w:val="none" w:sz="0" w:space="0" w:color="auto"/>
            <w:bottom w:val="none" w:sz="0" w:space="0" w:color="auto"/>
            <w:right w:val="none" w:sz="0" w:space="0" w:color="auto"/>
          </w:divBdr>
        </w:div>
        <w:div w:id="149372031">
          <w:marLeft w:val="274"/>
          <w:marRight w:val="0"/>
          <w:marTop w:val="0"/>
          <w:marBottom w:val="0"/>
          <w:divBdr>
            <w:top w:val="none" w:sz="0" w:space="0" w:color="auto"/>
            <w:left w:val="none" w:sz="0" w:space="0" w:color="auto"/>
            <w:bottom w:val="none" w:sz="0" w:space="0" w:color="auto"/>
            <w:right w:val="none" w:sz="0" w:space="0" w:color="auto"/>
          </w:divBdr>
        </w:div>
        <w:div w:id="1474835600">
          <w:marLeft w:val="274"/>
          <w:marRight w:val="0"/>
          <w:marTop w:val="0"/>
          <w:marBottom w:val="0"/>
          <w:divBdr>
            <w:top w:val="none" w:sz="0" w:space="0" w:color="auto"/>
            <w:left w:val="none" w:sz="0" w:space="0" w:color="auto"/>
            <w:bottom w:val="none" w:sz="0" w:space="0" w:color="auto"/>
            <w:right w:val="none" w:sz="0" w:space="0" w:color="auto"/>
          </w:divBdr>
        </w:div>
        <w:div w:id="850027896">
          <w:marLeft w:val="274"/>
          <w:marRight w:val="0"/>
          <w:marTop w:val="0"/>
          <w:marBottom w:val="0"/>
          <w:divBdr>
            <w:top w:val="none" w:sz="0" w:space="0" w:color="auto"/>
            <w:left w:val="none" w:sz="0" w:space="0" w:color="auto"/>
            <w:bottom w:val="none" w:sz="0" w:space="0" w:color="auto"/>
            <w:right w:val="none" w:sz="0" w:space="0" w:color="auto"/>
          </w:divBdr>
        </w:div>
        <w:div w:id="2136213635">
          <w:marLeft w:val="274"/>
          <w:marRight w:val="0"/>
          <w:marTop w:val="0"/>
          <w:marBottom w:val="0"/>
          <w:divBdr>
            <w:top w:val="none" w:sz="0" w:space="0" w:color="auto"/>
            <w:left w:val="none" w:sz="0" w:space="0" w:color="auto"/>
            <w:bottom w:val="none" w:sz="0" w:space="0" w:color="auto"/>
            <w:right w:val="none" w:sz="0" w:space="0" w:color="auto"/>
          </w:divBdr>
        </w:div>
        <w:div w:id="195310045">
          <w:marLeft w:val="274"/>
          <w:marRight w:val="0"/>
          <w:marTop w:val="0"/>
          <w:marBottom w:val="0"/>
          <w:divBdr>
            <w:top w:val="none" w:sz="0" w:space="0" w:color="auto"/>
            <w:left w:val="none" w:sz="0" w:space="0" w:color="auto"/>
            <w:bottom w:val="none" w:sz="0" w:space="0" w:color="auto"/>
            <w:right w:val="none" w:sz="0" w:space="0" w:color="auto"/>
          </w:divBdr>
        </w:div>
        <w:div w:id="2109084534">
          <w:marLeft w:val="274"/>
          <w:marRight w:val="0"/>
          <w:marTop w:val="0"/>
          <w:marBottom w:val="0"/>
          <w:divBdr>
            <w:top w:val="none" w:sz="0" w:space="0" w:color="auto"/>
            <w:left w:val="none" w:sz="0" w:space="0" w:color="auto"/>
            <w:bottom w:val="none" w:sz="0" w:space="0" w:color="auto"/>
            <w:right w:val="none" w:sz="0" w:space="0" w:color="auto"/>
          </w:divBdr>
        </w:div>
        <w:div w:id="1558201721">
          <w:marLeft w:val="274"/>
          <w:marRight w:val="0"/>
          <w:marTop w:val="0"/>
          <w:marBottom w:val="0"/>
          <w:divBdr>
            <w:top w:val="none" w:sz="0" w:space="0" w:color="auto"/>
            <w:left w:val="none" w:sz="0" w:space="0" w:color="auto"/>
            <w:bottom w:val="none" w:sz="0" w:space="0" w:color="auto"/>
            <w:right w:val="none" w:sz="0" w:space="0" w:color="auto"/>
          </w:divBdr>
        </w:div>
        <w:div w:id="2042391976">
          <w:marLeft w:val="274"/>
          <w:marRight w:val="0"/>
          <w:marTop w:val="0"/>
          <w:marBottom w:val="0"/>
          <w:divBdr>
            <w:top w:val="none" w:sz="0" w:space="0" w:color="auto"/>
            <w:left w:val="none" w:sz="0" w:space="0" w:color="auto"/>
            <w:bottom w:val="none" w:sz="0" w:space="0" w:color="auto"/>
            <w:right w:val="none" w:sz="0" w:space="0" w:color="auto"/>
          </w:divBdr>
        </w:div>
        <w:div w:id="449708423">
          <w:marLeft w:val="274"/>
          <w:marRight w:val="0"/>
          <w:marTop w:val="0"/>
          <w:marBottom w:val="0"/>
          <w:divBdr>
            <w:top w:val="none" w:sz="0" w:space="0" w:color="auto"/>
            <w:left w:val="none" w:sz="0" w:space="0" w:color="auto"/>
            <w:bottom w:val="none" w:sz="0" w:space="0" w:color="auto"/>
            <w:right w:val="none" w:sz="0" w:space="0" w:color="auto"/>
          </w:divBdr>
        </w:div>
        <w:div w:id="1595475981">
          <w:marLeft w:val="274"/>
          <w:marRight w:val="0"/>
          <w:marTop w:val="0"/>
          <w:marBottom w:val="0"/>
          <w:divBdr>
            <w:top w:val="none" w:sz="0" w:space="0" w:color="auto"/>
            <w:left w:val="none" w:sz="0" w:space="0" w:color="auto"/>
            <w:bottom w:val="none" w:sz="0" w:space="0" w:color="auto"/>
            <w:right w:val="none" w:sz="0" w:space="0" w:color="auto"/>
          </w:divBdr>
        </w:div>
        <w:div w:id="1489008242">
          <w:marLeft w:val="274"/>
          <w:marRight w:val="0"/>
          <w:marTop w:val="0"/>
          <w:marBottom w:val="0"/>
          <w:divBdr>
            <w:top w:val="none" w:sz="0" w:space="0" w:color="auto"/>
            <w:left w:val="none" w:sz="0" w:space="0" w:color="auto"/>
            <w:bottom w:val="none" w:sz="0" w:space="0" w:color="auto"/>
            <w:right w:val="none" w:sz="0" w:space="0" w:color="auto"/>
          </w:divBdr>
        </w:div>
        <w:div w:id="1425959724">
          <w:marLeft w:val="274"/>
          <w:marRight w:val="0"/>
          <w:marTop w:val="0"/>
          <w:marBottom w:val="0"/>
          <w:divBdr>
            <w:top w:val="none" w:sz="0" w:space="0" w:color="auto"/>
            <w:left w:val="none" w:sz="0" w:space="0" w:color="auto"/>
            <w:bottom w:val="none" w:sz="0" w:space="0" w:color="auto"/>
            <w:right w:val="none" w:sz="0" w:space="0" w:color="auto"/>
          </w:divBdr>
        </w:div>
        <w:div w:id="2031371211">
          <w:marLeft w:val="274"/>
          <w:marRight w:val="0"/>
          <w:marTop w:val="0"/>
          <w:marBottom w:val="0"/>
          <w:divBdr>
            <w:top w:val="none" w:sz="0" w:space="0" w:color="auto"/>
            <w:left w:val="none" w:sz="0" w:space="0" w:color="auto"/>
            <w:bottom w:val="none" w:sz="0" w:space="0" w:color="auto"/>
            <w:right w:val="none" w:sz="0" w:space="0" w:color="auto"/>
          </w:divBdr>
        </w:div>
        <w:div w:id="1403481413">
          <w:marLeft w:val="274"/>
          <w:marRight w:val="0"/>
          <w:marTop w:val="0"/>
          <w:marBottom w:val="0"/>
          <w:divBdr>
            <w:top w:val="none" w:sz="0" w:space="0" w:color="auto"/>
            <w:left w:val="none" w:sz="0" w:space="0" w:color="auto"/>
            <w:bottom w:val="none" w:sz="0" w:space="0" w:color="auto"/>
            <w:right w:val="none" w:sz="0" w:space="0" w:color="auto"/>
          </w:divBdr>
        </w:div>
        <w:div w:id="1451319200">
          <w:marLeft w:val="274"/>
          <w:marRight w:val="0"/>
          <w:marTop w:val="0"/>
          <w:marBottom w:val="0"/>
          <w:divBdr>
            <w:top w:val="none" w:sz="0" w:space="0" w:color="auto"/>
            <w:left w:val="none" w:sz="0" w:space="0" w:color="auto"/>
            <w:bottom w:val="none" w:sz="0" w:space="0" w:color="auto"/>
            <w:right w:val="none" w:sz="0" w:space="0" w:color="auto"/>
          </w:divBdr>
        </w:div>
        <w:div w:id="493688173">
          <w:marLeft w:val="274"/>
          <w:marRight w:val="0"/>
          <w:marTop w:val="0"/>
          <w:marBottom w:val="0"/>
          <w:divBdr>
            <w:top w:val="none" w:sz="0" w:space="0" w:color="auto"/>
            <w:left w:val="none" w:sz="0" w:space="0" w:color="auto"/>
            <w:bottom w:val="none" w:sz="0" w:space="0" w:color="auto"/>
            <w:right w:val="none" w:sz="0" w:space="0" w:color="auto"/>
          </w:divBdr>
        </w:div>
        <w:div w:id="1197544636">
          <w:marLeft w:val="274"/>
          <w:marRight w:val="0"/>
          <w:marTop w:val="0"/>
          <w:marBottom w:val="0"/>
          <w:divBdr>
            <w:top w:val="none" w:sz="0" w:space="0" w:color="auto"/>
            <w:left w:val="none" w:sz="0" w:space="0" w:color="auto"/>
            <w:bottom w:val="none" w:sz="0" w:space="0" w:color="auto"/>
            <w:right w:val="none" w:sz="0" w:space="0" w:color="auto"/>
          </w:divBdr>
        </w:div>
      </w:divsChild>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24414278">
      <w:bodyDiv w:val="1"/>
      <w:marLeft w:val="0"/>
      <w:marRight w:val="0"/>
      <w:marTop w:val="0"/>
      <w:marBottom w:val="0"/>
      <w:divBdr>
        <w:top w:val="none" w:sz="0" w:space="0" w:color="auto"/>
        <w:left w:val="none" w:sz="0" w:space="0" w:color="auto"/>
        <w:bottom w:val="none" w:sz="0" w:space="0" w:color="auto"/>
        <w:right w:val="none" w:sz="0" w:space="0" w:color="auto"/>
      </w:divBdr>
    </w:div>
    <w:div w:id="2017002898">
      <w:bodyDiv w:val="1"/>
      <w:marLeft w:val="0"/>
      <w:marRight w:val="0"/>
      <w:marTop w:val="0"/>
      <w:marBottom w:val="0"/>
      <w:divBdr>
        <w:top w:val="none" w:sz="0" w:space="0" w:color="auto"/>
        <w:left w:val="none" w:sz="0" w:space="0" w:color="auto"/>
        <w:bottom w:val="none" w:sz="0" w:space="0" w:color="auto"/>
        <w:right w:val="none" w:sz="0" w:space="0" w:color="auto"/>
      </w:divBdr>
      <w:divsChild>
        <w:div w:id="408426033">
          <w:marLeft w:val="274"/>
          <w:marRight w:val="0"/>
          <w:marTop w:val="40"/>
          <w:marBottom w:val="40"/>
          <w:divBdr>
            <w:top w:val="none" w:sz="0" w:space="0" w:color="auto"/>
            <w:left w:val="none" w:sz="0" w:space="0" w:color="auto"/>
            <w:bottom w:val="none" w:sz="0" w:space="0" w:color="auto"/>
            <w:right w:val="none" w:sz="0" w:space="0" w:color="auto"/>
          </w:divBdr>
        </w:div>
        <w:div w:id="2108378209">
          <w:marLeft w:val="274"/>
          <w:marRight w:val="0"/>
          <w:marTop w:val="40"/>
          <w:marBottom w:val="40"/>
          <w:divBdr>
            <w:top w:val="none" w:sz="0" w:space="0" w:color="auto"/>
            <w:left w:val="none" w:sz="0" w:space="0" w:color="auto"/>
            <w:bottom w:val="none" w:sz="0" w:space="0" w:color="auto"/>
            <w:right w:val="none" w:sz="0" w:space="0" w:color="auto"/>
          </w:divBdr>
        </w:div>
        <w:div w:id="1454976562">
          <w:marLeft w:val="274"/>
          <w:marRight w:val="0"/>
          <w:marTop w:val="40"/>
          <w:marBottom w:val="40"/>
          <w:divBdr>
            <w:top w:val="none" w:sz="0" w:space="0" w:color="auto"/>
            <w:left w:val="none" w:sz="0" w:space="0" w:color="auto"/>
            <w:bottom w:val="none" w:sz="0" w:space="0" w:color="auto"/>
            <w:right w:val="none" w:sz="0" w:space="0" w:color="auto"/>
          </w:divBdr>
        </w:div>
        <w:div w:id="352343052">
          <w:marLeft w:val="274"/>
          <w:marRight w:val="0"/>
          <w:marTop w:val="40"/>
          <w:marBottom w:val="40"/>
          <w:divBdr>
            <w:top w:val="none" w:sz="0" w:space="0" w:color="auto"/>
            <w:left w:val="none" w:sz="0" w:space="0" w:color="auto"/>
            <w:bottom w:val="none" w:sz="0" w:space="0" w:color="auto"/>
            <w:right w:val="none" w:sz="0" w:space="0" w:color="auto"/>
          </w:divBdr>
        </w:div>
      </w:divsChild>
    </w:div>
    <w:div w:id="21258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3.png@01D58F48.A32EACA0"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cid:image003.png@01D58F48.A32EAC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inen\Documents\Method%20Integration\PIM%20Integration\Templates\Tem_MS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833A-1CFB-4068-A908-9D10A0B6E5A7}">
  <ds:schemaRefs>
    <ds:schemaRef ds:uri="http://schemas.microsoft.com/sharepoint/v3/contenttype/forms"/>
  </ds:schemaRefs>
</ds:datastoreItem>
</file>

<file path=customXml/itemProps2.xml><?xml version="1.0" encoding="utf-8"?>
<ds:datastoreItem xmlns:ds="http://schemas.openxmlformats.org/officeDocument/2006/customXml" ds:itemID="{A9329A1C-D181-41E5-A4C5-79948E257518}">
  <ds:schemaRefs>
    <ds:schemaRef ds:uri="http://schemas.microsoft.com/office/2006/metadata/properties"/>
    <ds:schemaRef ds:uri="http://schemas.microsoft.com/office/infopath/2007/PartnerControls"/>
    <ds:schemaRef ds:uri="38ac8d9b-57a9-43ab-aeed-655448db72ff"/>
  </ds:schemaRefs>
</ds:datastoreItem>
</file>

<file path=customXml/itemProps3.xml><?xml version="1.0" encoding="utf-8"?>
<ds:datastoreItem xmlns:ds="http://schemas.openxmlformats.org/officeDocument/2006/customXml" ds:itemID="{9305CCA8-7BC6-4E85-BB79-D393B3DF3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8d9b-57a9-43ab-aeed-655448d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6AD01-88EB-4D5B-AFF0-17C91A27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Tem_MSWord</Template>
  <TotalTime>1</TotalTime>
  <Pages>34</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68395</CharactersWithSpaces>
  <SharedDoc>false</SharedDoc>
  <HLinks>
    <vt:vector size="204" baseType="variant">
      <vt:variant>
        <vt:i4>5832712</vt:i4>
      </vt:variant>
      <vt:variant>
        <vt:i4>219</vt:i4>
      </vt:variant>
      <vt:variant>
        <vt:i4>0</vt:i4>
      </vt:variant>
      <vt:variant>
        <vt:i4>5</vt:i4>
      </vt:variant>
      <vt:variant>
        <vt:lpwstr>http://www.deloitte.com/us/about</vt:lpwstr>
      </vt:variant>
      <vt:variant>
        <vt:lpwstr/>
      </vt:variant>
      <vt:variant>
        <vt:i4>1179698</vt:i4>
      </vt:variant>
      <vt:variant>
        <vt:i4>197</vt:i4>
      </vt:variant>
      <vt:variant>
        <vt:i4>0</vt:i4>
      </vt:variant>
      <vt:variant>
        <vt:i4>5</vt:i4>
      </vt:variant>
      <vt:variant>
        <vt:lpwstr/>
      </vt:variant>
      <vt:variant>
        <vt:lpwstr>_Toc285129750</vt:lpwstr>
      </vt:variant>
      <vt:variant>
        <vt:i4>1245234</vt:i4>
      </vt:variant>
      <vt:variant>
        <vt:i4>191</vt:i4>
      </vt:variant>
      <vt:variant>
        <vt:i4>0</vt:i4>
      </vt:variant>
      <vt:variant>
        <vt:i4>5</vt:i4>
      </vt:variant>
      <vt:variant>
        <vt:lpwstr/>
      </vt:variant>
      <vt:variant>
        <vt:lpwstr>_Toc285129749</vt:lpwstr>
      </vt:variant>
      <vt:variant>
        <vt:i4>1245234</vt:i4>
      </vt:variant>
      <vt:variant>
        <vt:i4>185</vt:i4>
      </vt:variant>
      <vt:variant>
        <vt:i4>0</vt:i4>
      </vt:variant>
      <vt:variant>
        <vt:i4>5</vt:i4>
      </vt:variant>
      <vt:variant>
        <vt:lpwstr/>
      </vt:variant>
      <vt:variant>
        <vt:lpwstr>_Toc285129748</vt:lpwstr>
      </vt:variant>
      <vt:variant>
        <vt:i4>1245234</vt:i4>
      </vt:variant>
      <vt:variant>
        <vt:i4>179</vt:i4>
      </vt:variant>
      <vt:variant>
        <vt:i4>0</vt:i4>
      </vt:variant>
      <vt:variant>
        <vt:i4>5</vt:i4>
      </vt:variant>
      <vt:variant>
        <vt:lpwstr/>
      </vt:variant>
      <vt:variant>
        <vt:lpwstr>_Toc285129747</vt:lpwstr>
      </vt:variant>
      <vt:variant>
        <vt:i4>1245234</vt:i4>
      </vt:variant>
      <vt:variant>
        <vt:i4>173</vt:i4>
      </vt:variant>
      <vt:variant>
        <vt:i4>0</vt:i4>
      </vt:variant>
      <vt:variant>
        <vt:i4>5</vt:i4>
      </vt:variant>
      <vt:variant>
        <vt:lpwstr/>
      </vt:variant>
      <vt:variant>
        <vt:lpwstr>_Toc285129746</vt:lpwstr>
      </vt:variant>
      <vt:variant>
        <vt:i4>1245234</vt:i4>
      </vt:variant>
      <vt:variant>
        <vt:i4>167</vt:i4>
      </vt:variant>
      <vt:variant>
        <vt:i4>0</vt:i4>
      </vt:variant>
      <vt:variant>
        <vt:i4>5</vt:i4>
      </vt:variant>
      <vt:variant>
        <vt:lpwstr/>
      </vt:variant>
      <vt:variant>
        <vt:lpwstr>_Toc285129745</vt:lpwstr>
      </vt:variant>
      <vt:variant>
        <vt:i4>1245234</vt:i4>
      </vt:variant>
      <vt:variant>
        <vt:i4>161</vt:i4>
      </vt:variant>
      <vt:variant>
        <vt:i4>0</vt:i4>
      </vt:variant>
      <vt:variant>
        <vt:i4>5</vt:i4>
      </vt:variant>
      <vt:variant>
        <vt:lpwstr/>
      </vt:variant>
      <vt:variant>
        <vt:lpwstr>_Toc285129744</vt:lpwstr>
      </vt:variant>
      <vt:variant>
        <vt:i4>1245234</vt:i4>
      </vt:variant>
      <vt:variant>
        <vt:i4>155</vt:i4>
      </vt:variant>
      <vt:variant>
        <vt:i4>0</vt:i4>
      </vt:variant>
      <vt:variant>
        <vt:i4>5</vt:i4>
      </vt:variant>
      <vt:variant>
        <vt:lpwstr/>
      </vt:variant>
      <vt:variant>
        <vt:lpwstr>_Toc285129743</vt:lpwstr>
      </vt:variant>
      <vt:variant>
        <vt:i4>1245234</vt:i4>
      </vt:variant>
      <vt:variant>
        <vt:i4>149</vt:i4>
      </vt:variant>
      <vt:variant>
        <vt:i4>0</vt:i4>
      </vt:variant>
      <vt:variant>
        <vt:i4>5</vt:i4>
      </vt:variant>
      <vt:variant>
        <vt:lpwstr/>
      </vt:variant>
      <vt:variant>
        <vt:lpwstr>_Toc285129742</vt:lpwstr>
      </vt:variant>
      <vt:variant>
        <vt:i4>1245234</vt:i4>
      </vt:variant>
      <vt:variant>
        <vt:i4>143</vt:i4>
      </vt:variant>
      <vt:variant>
        <vt:i4>0</vt:i4>
      </vt:variant>
      <vt:variant>
        <vt:i4>5</vt:i4>
      </vt:variant>
      <vt:variant>
        <vt:lpwstr/>
      </vt:variant>
      <vt:variant>
        <vt:lpwstr>_Toc285129741</vt:lpwstr>
      </vt:variant>
      <vt:variant>
        <vt:i4>1245234</vt:i4>
      </vt:variant>
      <vt:variant>
        <vt:i4>137</vt:i4>
      </vt:variant>
      <vt:variant>
        <vt:i4>0</vt:i4>
      </vt:variant>
      <vt:variant>
        <vt:i4>5</vt:i4>
      </vt:variant>
      <vt:variant>
        <vt:lpwstr/>
      </vt:variant>
      <vt:variant>
        <vt:lpwstr>_Toc285129740</vt:lpwstr>
      </vt:variant>
      <vt:variant>
        <vt:i4>1310770</vt:i4>
      </vt:variant>
      <vt:variant>
        <vt:i4>131</vt:i4>
      </vt:variant>
      <vt:variant>
        <vt:i4>0</vt:i4>
      </vt:variant>
      <vt:variant>
        <vt:i4>5</vt:i4>
      </vt:variant>
      <vt:variant>
        <vt:lpwstr/>
      </vt:variant>
      <vt:variant>
        <vt:lpwstr>_Toc285129739</vt:lpwstr>
      </vt:variant>
      <vt:variant>
        <vt:i4>1310770</vt:i4>
      </vt:variant>
      <vt:variant>
        <vt:i4>125</vt:i4>
      </vt:variant>
      <vt:variant>
        <vt:i4>0</vt:i4>
      </vt:variant>
      <vt:variant>
        <vt:i4>5</vt:i4>
      </vt:variant>
      <vt:variant>
        <vt:lpwstr/>
      </vt:variant>
      <vt:variant>
        <vt:lpwstr>_Toc285129738</vt:lpwstr>
      </vt:variant>
      <vt:variant>
        <vt:i4>1310770</vt:i4>
      </vt:variant>
      <vt:variant>
        <vt:i4>119</vt:i4>
      </vt:variant>
      <vt:variant>
        <vt:i4>0</vt:i4>
      </vt:variant>
      <vt:variant>
        <vt:i4>5</vt:i4>
      </vt:variant>
      <vt:variant>
        <vt:lpwstr/>
      </vt:variant>
      <vt:variant>
        <vt:lpwstr>_Toc285129737</vt:lpwstr>
      </vt:variant>
      <vt:variant>
        <vt:i4>1310770</vt:i4>
      </vt:variant>
      <vt:variant>
        <vt:i4>113</vt:i4>
      </vt:variant>
      <vt:variant>
        <vt:i4>0</vt:i4>
      </vt:variant>
      <vt:variant>
        <vt:i4>5</vt:i4>
      </vt:variant>
      <vt:variant>
        <vt:lpwstr/>
      </vt:variant>
      <vt:variant>
        <vt:lpwstr>_Toc285129736</vt:lpwstr>
      </vt:variant>
      <vt:variant>
        <vt:i4>1310770</vt:i4>
      </vt:variant>
      <vt:variant>
        <vt:i4>107</vt:i4>
      </vt:variant>
      <vt:variant>
        <vt:i4>0</vt:i4>
      </vt:variant>
      <vt:variant>
        <vt:i4>5</vt:i4>
      </vt:variant>
      <vt:variant>
        <vt:lpwstr/>
      </vt:variant>
      <vt:variant>
        <vt:lpwstr>_Toc285129735</vt:lpwstr>
      </vt:variant>
      <vt:variant>
        <vt:i4>1310770</vt:i4>
      </vt:variant>
      <vt:variant>
        <vt:i4>101</vt:i4>
      </vt:variant>
      <vt:variant>
        <vt:i4>0</vt:i4>
      </vt:variant>
      <vt:variant>
        <vt:i4>5</vt:i4>
      </vt:variant>
      <vt:variant>
        <vt:lpwstr/>
      </vt:variant>
      <vt:variant>
        <vt:lpwstr>_Toc285129734</vt:lpwstr>
      </vt:variant>
      <vt:variant>
        <vt:i4>1310770</vt:i4>
      </vt:variant>
      <vt:variant>
        <vt:i4>95</vt:i4>
      </vt:variant>
      <vt:variant>
        <vt:i4>0</vt:i4>
      </vt:variant>
      <vt:variant>
        <vt:i4>5</vt:i4>
      </vt:variant>
      <vt:variant>
        <vt:lpwstr/>
      </vt:variant>
      <vt:variant>
        <vt:lpwstr>_Toc285129733</vt:lpwstr>
      </vt:variant>
      <vt:variant>
        <vt:i4>1310770</vt:i4>
      </vt:variant>
      <vt:variant>
        <vt:i4>89</vt:i4>
      </vt:variant>
      <vt:variant>
        <vt:i4>0</vt:i4>
      </vt:variant>
      <vt:variant>
        <vt:i4>5</vt:i4>
      </vt:variant>
      <vt:variant>
        <vt:lpwstr/>
      </vt:variant>
      <vt:variant>
        <vt:lpwstr>_Toc285129732</vt:lpwstr>
      </vt:variant>
      <vt:variant>
        <vt:i4>1310770</vt:i4>
      </vt:variant>
      <vt:variant>
        <vt:i4>83</vt:i4>
      </vt:variant>
      <vt:variant>
        <vt:i4>0</vt:i4>
      </vt:variant>
      <vt:variant>
        <vt:i4>5</vt:i4>
      </vt:variant>
      <vt:variant>
        <vt:lpwstr/>
      </vt:variant>
      <vt:variant>
        <vt:lpwstr>_Toc285129731</vt:lpwstr>
      </vt:variant>
      <vt:variant>
        <vt:i4>1310770</vt:i4>
      </vt:variant>
      <vt:variant>
        <vt:i4>77</vt:i4>
      </vt:variant>
      <vt:variant>
        <vt:i4>0</vt:i4>
      </vt:variant>
      <vt:variant>
        <vt:i4>5</vt:i4>
      </vt:variant>
      <vt:variant>
        <vt:lpwstr/>
      </vt:variant>
      <vt:variant>
        <vt:lpwstr>_Toc285129730</vt:lpwstr>
      </vt:variant>
      <vt:variant>
        <vt:i4>1376306</vt:i4>
      </vt:variant>
      <vt:variant>
        <vt:i4>71</vt:i4>
      </vt:variant>
      <vt:variant>
        <vt:i4>0</vt:i4>
      </vt:variant>
      <vt:variant>
        <vt:i4>5</vt:i4>
      </vt:variant>
      <vt:variant>
        <vt:lpwstr/>
      </vt:variant>
      <vt:variant>
        <vt:lpwstr>_Toc285129729</vt:lpwstr>
      </vt:variant>
      <vt:variant>
        <vt:i4>1376306</vt:i4>
      </vt:variant>
      <vt:variant>
        <vt:i4>65</vt:i4>
      </vt:variant>
      <vt:variant>
        <vt:i4>0</vt:i4>
      </vt:variant>
      <vt:variant>
        <vt:i4>5</vt:i4>
      </vt:variant>
      <vt:variant>
        <vt:lpwstr/>
      </vt:variant>
      <vt:variant>
        <vt:lpwstr>_Toc285129728</vt:lpwstr>
      </vt:variant>
      <vt:variant>
        <vt:i4>1376306</vt:i4>
      </vt:variant>
      <vt:variant>
        <vt:i4>59</vt:i4>
      </vt:variant>
      <vt:variant>
        <vt:i4>0</vt:i4>
      </vt:variant>
      <vt:variant>
        <vt:i4>5</vt:i4>
      </vt:variant>
      <vt:variant>
        <vt:lpwstr/>
      </vt:variant>
      <vt:variant>
        <vt:lpwstr>_Toc285129727</vt:lpwstr>
      </vt:variant>
      <vt:variant>
        <vt:i4>1376306</vt:i4>
      </vt:variant>
      <vt:variant>
        <vt:i4>53</vt:i4>
      </vt:variant>
      <vt:variant>
        <vt:i4>0</vt:i4>
      </vt:variant>
      <vt:variant>
        <vt:i4>5</vt:i4>
      </vt:variant>
      <vt:variant>
        <vt:lpwstr/>
      </vt:variant>
      <vt:variant>
        <vt:lpwstr>_Toc285129726</vt:lpwstr>
      </vt:variant>
      <vt:variant>
        <vt:i4>1376306</vt:i4>
      </vt:variant>
      <vt:variant>
        <vt:i4>47</vt:i4>
      </vt:variant>
      <vt:variant>
        <vt:i4>0</vt:i4>
      </vt:variant>
      <vt:variant>
        <vt:i4>5</vt:i4>
      </vt:variant>
      <vt:variant>
        <vt:lpwstr/>
      </vt:variant>
      <vt:variant>
        <vt:lpwstr>_Toc285129725</vt:lpwstr>
      </vt:variant>
      <vt:variant>
        <vt:i4>1376306</vt:i4>
      </vt:variant>
      <vt:variant>
        <vt:i4>41</vt:i4>
      </vt:variant>
      <vt:variant>
        <vt:i4>0</vt:i4>
      </vt:variant>
      <vt:variant>
        <vt:i4>5</vt:i4>
      </vt:variant>
      <vt:variant>
        <vt:lpwstr/>
      </vt:variant>
      <vt:variant>
        <vt:lpwstr>_Toc285129724</vt:lpwstr>
      </vt:variant>
      <vt:variant>
        <vt:i4>1376306</vt:i4>
      </vt:variant>
      <vt:variant>
        <vt:i4>35</vt:i4>
      </vt:variant>
      <vt:variant>
        <vt:i4>0</vt:i4>
      </vt:variant>
      <vt:variant>
        <vt:i4>5</vt:i4>
      </vt:variant>
      <vt:variant>
        <vt:lpwstr/>
      </vt:variant>
      <vt:variant>
        <vt:lpwstr>_Toc285129723</vt:lpwstr>
      </vt:variant>
      <vt:variant>
        <vt:i4>1376306</vt:i4>
      </vt:variant>
      <vt:variant>
        <vt:i4>29</vt:i4>
      </vt:variant>
      <vt:variant>
        <vt:i4>0</vt:i4>
      </vt:variant>
      <vt:variant>
        <vt:i4>5</vt:i4>
      </vt:variant>
      <vt:variant>
        <vt:lpwstr/>
      </vt:variant>
      <vt:variant>
        <vt:lpwstr>_Toc285129722</vt:lpwstr>
      </vt:variant>
      <vt:variant>
        <vt:i4>1376306</vt:i4>
      </vt:variant>
      <vt:variant>
        <vt:i4>23</vt:i4>
      </vt:variant>
      <vt:variant>
        <vt:i4>0</vt:i4>
      </vt:variant>
      <vt:variant>
        <vt:i4>5</vt:i4>
      </vt:variant>
      <vt:variant>
        <vt:lpwstr/>
      </vt:variant>
      <vt:variant>
        <vt:lpwstr>_Toc285129721</vt:lpwstr>
      </vt:variant>
      <vt:variant>
        <vt:i4>1376306</vt:i4>
      </vt:variant>
      <vt:variant>
        <vt:i4>17</vt:i4>
      </vt:variant>
      <vt:variant>
        <vt:i4>0</vt:i4>
      </vt:variant>
      <vt:variant>
        <vt:i4>5</vt:i4>
      </vt:variant>
      <vt:variant>
        <vt:lpwstr/>
      </vt:variant>
      <vt:variant>
        <vt:lpwstr>_Toc285129720</vt:lpwstr>
      </vt:variant>
      <vt:variant>
        <vt:i4>1441842</vt:i4>
      </vt:variant>
      <vt:variant>
        <vt:i4>11</vt:i4>
      </vt:variant>
      <vt:variant>
        <vt:i4>0</vt:i4>
      </vt:variant>
      <vt:variant>
        <vt:i4>5</vt:i4>
      </vt:variant>
      <vt:variant>
        <vt:lpwstr/>
      </vt:variant>
      <vt:variant>
        <vt:lpwstr>_Toc285129719</vt:lpwstr>
      </vt:variant>
      <vt:variant>
        <vt:i4>1376338</vt:i4>
      </vt:variant>
      <vt:variant>
        <vt:i4>0</vt:i4>
      </vt:variant>
      <vt:variant>
        <vt:i4>0</vt:i4>
      </vt:variant>
      <vt:variant>
        <vt:i4>5</vt:i4>
      </vt:variant>
      <vt:variant>
        <vt:lpwstr>https://www.deloittenet.com/CM/MarketingBusinessDev/MarketingBusinessDevelopment/BrandReputation/default.htm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 Michael James (US - Chicago)</dc:creator>
  <cp:lastModifiedBy>Alex Doench</cp:lastModifiedBy>
  <cp:revision>3</cp:revision>
  <cp:lastPrinted>2020-03-05T15:27:00Z</cp:lastPrinted>
  <dcterms:created xsi:type="dcterms:W3CDTF">2021-05-03T22:49:00Z</dcterms:created>
  <dcterms:modified xsi:type="dcterms:W3CDTF">2021-05-05T17:47:00Z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y fmtid="{D5CDD505-2E9C-101B-9397-08002B2CF9AE}" pid="3" name="Order">
    <vt:r8>78400</vt:r8>
  </property>
  <property fmtid="{D5CDD505-2E9C-101B-9397-08002B2CF9AE}" pid="4" name="Doc Type">
    <vt:lpwstr>Working Doc</vt:lpwstr>
  </property>
  <property fmtid="{D5CDD505-2E9C-101B-9397-08002B2CF9AE}" pid="5" name="_CopySource">
    <vt:lpwstr>https://consulting.global.deloitteonline.com/sites/projectluma/TF/Project Management Office/Deliverables - For Final Review/Deliverable_020_Chart of Accounts Design.docx</vt:lpwstr>
  </property>
  <property fmtid="{D5CDD505-2E9C-101B-9397-08002B2CF9AE}" pid="6" name="xd_ProgID">
    <vt:lpwstr/>
  </property>
  <property fmtid="{D5CDD505-2E9C-101B-9397-08002B2CF9AE}" pid="7" name="TemplateUrl">
    <vt:lpwstr/>
  </property>
</Properties>
</file>